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舜耕馆微型消防站改造项目招募公告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2023年4月12日12时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山东国际会展集团有限公司根据实际情况和经营管理需要，对舜耕馆微型消防站改造项目服务商进行询价，现诚邀资质合格的单位参加报价，请按项目列表所列明细给出相应报价。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舜耕馆微型消防站改造。（详见项目清单）</w:t>
      </w:r>
    </w:p>
    <w:p>
      <w:pPr>
        <w:pStyle w:val="6"/>
        <w:numPr>
          <w:ilvl w:val="0"/>
          <w:numId w:val="2"/>
        </w:numPr>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项目控价：40</w:t>
      </w:r>
      <w:bookmarkStart w:id="0" w:name="_GoBack"/>
      <w:bookmarkEnd w:id="0"/>
      <w:r>
        <w:rPr>
          <w:rFonts w:hint="eastAsia" w:ascii="仿宋" w:hAnsi="仿宋" w:eastAsia="仿宋" w:cs="仿宋"/>
          <w:b w:val="0"/>
          <w:bCs w:val="0"/>
          <w:i w:val="0"/>
          <w:color w:val="000000"/>
          <w:kern w:val="0"/>
          <w:sz w:val="24"/>
          <w:szCs w:val="24"/>
          <w:u w:val="none"/>
          <w:lang w:val="en-US" w:eastAsia="zh-CN" w:bidi="ar"/>
        </w:rPr>
        <w:t>000元（含税）</w:t>
      </w:r>
    </w:p>
    <w:p>
      <w:pPr>
        <w:pStyle w:val="6"/>
        <w:numPr>
          <w:ilvl w:val="0"/>
          <w:numId w:val="2"/>
        </w:numPr>
        <w:ind w:left="0" w:leftChars="0" w:firstLine="480" w:firstLineChars="20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highlight w:val="none"/>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w:t>
      </w:r>
      <w:r>
        <w:rPr>
          <w:rFonts w:hint="eastAsia" w:ascii="仿宋" w:hAnsi="仿宋" w:eastAsia="仿宋" w:cs="仿宋"/>
          <w:b w:val="0"/>
          <w:bCs w:val="0"/>
          <w:i w:val="0"/>
          <w:color w:val="auto"/>
          <w:kern w:val="0"/>
          <w:sz w:val="24"/>
          <w:szCs w:val="24"/>
          <w:highlight w:val="none"/>
          <w:u w:val="none"/>
          <w:lang w:val="en-US" w:eastAsia="zh-CN" w:bidi="ar"/>
        </w:rPr>
        <w:t>具有装修装饰</w:t>
      </w:r>
      <w:r>
        <w:rPr>
          <w:rFonts w:hint="eastAsia" w:ascii="仿宋" w:hAnsi="仿宋" w:eastAsia="仿宋" w:cs="仿宋"/>
          <w:b/>
          <w:bCs/>
          <w:i w:val="0"/>
          <w:color w:val="auto"/>
          <w:kern w:val="0"/>
          <w:sz w:val="24"/>
          <w:szCs w:val="24"/>
          <w:highlight w:val="none"/>
          <w:u w:val="none"/>
          <w:lang w:val="en-US" w:eastAsia="zh-CN" w:bidi="ar"/>
        </w:rPr>
        <w:t>资质</w:t>
      </w:r>
      <w:r>
        <w:rPr>
          <w:rFonts w:hint="eastAsia" w:ascii="仿宋" w:hAnsi="仿宋" w:eastAsia="仿宋" w:cs="仿宋"/>
          <w:b w:val="0"/>
          <w:bCs w:val="0"/>
          <w:i w:val="0"/>
          <w:color w:val="auto"/>
          <w:kern w:val="0"/>
          <w:sz w:val="24"/>
          <w:szCs w:val="24"/>
          <w:highlight w:val="none"/>
          <w:u w:val="none"/>
          <w:lang w:val="en-US" w:eastAsia="zh-CN" w:bidi="ar"/>
        </w:rPr>
        <w:t>；</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4</w:t>
      </w:r>
      <w:r>
        <w:rPr>
          <w:rFonts w:hint="eastAsia" w:ascii="仿宋" w:hAnsi="仿宋" w:eastAsia="仿宋" w:cs="仿宋"/>
          <w:b/>
          <w:bCs/>
          <w:i w:val="0"/>
          <w:color w:val="auto"/>
          <w:kern w:val="0"/>
          <w:sz w:val="24"/>
          <w:szCs w:val="24"/>
          <w:u w:val="none"/>
          <w:lang w:val="en-US" w:eastAsia="zh-CN" w:bidi="ar"/>
        </w:rPr>
        <w:t>月17日16时截止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（注：1、快件外部请写明项目名称，例：舜耕馆微型消防站改造项目。2、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、所有材料均准备三份。4、参与本项目单位请一并将项目联系人联系方式及营业执照发送至邮箱：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7"/>
        <w:tblW w:w="8777" w:type="dxa"/>
        <w:tblInd w:w="-242" w:type="dxa"/>
        <w:shd w:val="clear" w:color="auto" w:fill="auto"/>
        <w:tblLayout w:type="fixed"/>
        <w:tblCellMar>
          <w:top w:w="0" w:type="dxa"/>
          <w:left w:w="0" w:type="dxa"/>
          <w:bottom w:w="0" w:type="dxa"/>
          <w:right w:w="0" w:type="dxa"/>
        </w:tblCellMar>
      </w:tblPr>
      <w:tblGrid>
        <w:gridCol w:w="684"/>
        <w:gridCol w:w="2821"/>
        <w:gridCol w:w="767"/>
        <w:gridCol w:w="1685"/>
        <w:gridCol w:w="2820"/>
      </w:tblGrid>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shd w:val="clear" w:color="FFFFFF" w:fill="D9D9D9"/>
              </w:rPr>
            </w:pPr>
            <w:r>
              <w:rPr>
                <w:rFonts w:hint="default" w:ascii="华文仿宋" w:hAnsi="华文仿宋" w:eastAsia="华文仿宋" w:cs="华文仿宋"/>
                <w:i w:val="0"/>
                <w:color w:val="000000"/>
                <w:kern w:val="0"/>
                <w:sz w:val="22"/>
                <w:szCs w:val="22"/>
                <w:u w:val="none"/>
                <w:shd w:val="clear" w:color="auto" w:fill="auto"/>
                <w:lang w:val="en-US" w:eastAsia="zh-CN" w:bidi="ar"/>
              </w:rPr>
              <w:t>序号</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shd w:val="clear" w:color="auto" w:fill="auto"/>
              </w:rPr>
            </w:pPr>
            <w:r>
              <w:rPr>
                <w:rFonts w:hint="default" w:ascii="华文仿宋" w:hAnsi="华文仿宋" w:eastAsia="华文仿宋" w:cs="华文仿宋"/>
                <w:i w:val="0"/>
                <w:color w:val="000000"/>
                <w:kern w:val="0"/>
                <w:sz w:val="22"/>
                <w:szCs w:val="22"/>
                <w:u w:val="none"/>
                <w:shd w:val="clear" w:color="auto" w:fill="auto"/>
                <w:lang w:val="en-US" w:eastAsia="zh-CN" w:bidi="ar"/>
              </w:rPr>
              <w:t>项目</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shd w:val="clear" w:color="auto" w:fill="auto"/>
              </w:rPr>
            </w:pPr>
            <w:r>
              <w:rPr>
                <w:rFonts w:hint="default" w:ascii="华文仿宋" w:hAnsi="华文仿宋" w:eastAsia="华文仿宋" w:cs="华文仿宋"/>
                <w:i w:val="0"/>
                <w:color w:val="000000"/>
                <w:kern w:val="0"/>
                <w:sz w:val="22"/>
                <w:szCs w:val="22"/>
                <w:u w:val="none"/>
                <w:shd w:val="clear" w:color="auto" w:fill="auto"/>
                <w:lang w:val="en-US" w:eastAsia="zh-CN" w:bidi="ar"/>
              </w:rPr>
              <w:t>单位</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shd w:val="clear" w:color="auto" w:fill="auto"/>
              </w:rPr>
            </w:pPr>
            <w:r>
              <w:rPr>
                <w:rFonts w:hint="default" w:ascii="华文仿宋" w:hAnsi="华文仿宋" w:eastAsia="华文仿宋" w:cs="华文仿宋"/>
                <w:i w:val="0"/>
                <w:color w:val="000000"/>
                <w:kern w:val="0"/>
                <w:sz w:val="22"/>
                <w:szCs w:val="22"/>
                <w:u w:val="none"/>
                <w:shd w:val="clear" w:color="auto" w:fill="auto"/>
                <w:lang w:val="en-US" w:eastAsia="zh-CN" w:bidi="ar"/>
              </w:rPr>
              <w:t>数量</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shd w:val="clear" w:color="auto" w:fill="auto"/>
              </w:rPr>
            </w:pPr>
            <w:r>
              <w:rPr>
                <w:rFonts w:hint="default" w:ascii="华文仿宋" w:hAnsi="华文仿宋" w:eastAsia="华文仿宋" w:cs="华文仿宋"/>
                <w:i w:val="0"/>
                <w:color w:val="000000"/>
                <w:kern w:val="0"/>
                <w:sz w:val="22"/>
                <w:szCs w:val="22"/>
                <w:u w:val="none"/>
                <w:shd w:val="clear" w:color="auto" w:fill="auto"/>
                <w:lang w:val="en-US" w:eastAsia="zh-CN" w:bidi="ar"/>
              </w:rPr>
              <w:t>备注</w:t>
            </w:r>
          </w:p>
        </w:tc>
      </w:tr>
      <w:tr>
        <w:tblPrEx>
          <w:shd w:val="clear" w:color="auto" w:fill="auto"/>
          <w:tblCellMar>
            <w:top w:w="0" w:type="dxa"/>
            <w:left w:w="0" w:type="dxa"/>
            <w:bottom w:w="0" w:type="dxa"/>
            <w:right w:w="0" w:type="dxa"/>
          </w:tblCellMar>
        </w:tblPrEx>
        <w:trPr>
          <w:trHeight w:val="6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南侧中间和地面外墙原来板子拆除 清理基层</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42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防雨罩拆除</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个</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三角铁架拆除</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个</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做塑钢窗子</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5.5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推拉窗用 实德原生料</w:t>
            </w:r>
          </w:p>
        </w:tc>
      </w:tr>
      <w:tr>
        <w:tblPrEx>
          <w:shd w:val="clear" w:color="auto" w:fill="auto"/>
          <w:tblCellMar>
            <w:top w:w="0" w:type="dxa"/>
            <w:left w:w="0" w:type="dxa"/>
            <w:bottom w:w="0" w:type="dxa"/>
            <w:right w:w="0" w:type="dxa"/>
          </w:tblCellMar>
        </w:tblPrEx>
        <w:trPr>
          <w:trHeight w:val="6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中间房间背墙外侧做防火PVC板子 做基层</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1.8厘米 原来基层不牢固</w:t>
            </w:r>
          </w:p>
        </w:tc>
      </w:tr>
      <w:tr>
        <w:tblPrEx>
          <w:shd w:val="clear" w:color="auto" w:fill="auto"/>
          <w:tblCellMar>
            <w:top w:w="0" w:type="dxa"/>
            <w:left w:w="0" w:type="dxa"/>
            <w:bottom w:w="0" w:type="dxa"/>
            <w:right w:w="0" w:type="dxa"/>
          </w:tblCellMar>
        </w:tblPrEx>
        <w:trPr>
          <w:trHeight w:val="6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外墙贴铝塑板材料费和人工费</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42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包括双面、结构胶、吉祥铝塑板</w:t>
            </w: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7</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中间房子做不锈钢落水槽</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米</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规格300x14x25</w:t>
            </w: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8</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PVC字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9</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北面小屋门口防水处理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项</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10</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室内不锈钢踢脚线</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米</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21.6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11</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PVC室内吊顶</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31.2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12</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部分电路改造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31.2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13</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灯具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个</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14</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LED吸顶灯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个</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直径50cm 飞利浦</w:t>
            </w:r>
          </w:p>
        </w:tc>
      </w:tr>
      <w:tr>
        <w:tblPrEx>
          <w:shd w:val="clear" w:color="auto" w:fill="auto"/>
          <w:tblCellMar>
            <w:top w:w="0" w:type="dxa"/>
            <w:left w:w="0" w:type="dxa"/>
            <w:bottom w:w="0" w:type="dxa"/>
            <w:right w:w="0" w:type="dxa"/>
          </w:tblCellMar>
        </w:tblPrEx>
        <w:trPr>
          <w:trHeight w:val="6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15</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防雨罩</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m</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耐力板 2mm厚度 不锈钢方管</w:t>
            </w:r>
          </w:p>
        </w:tc>
      </w:tr>
      <w:tr>
        <w:tblPrEx>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16</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户外防盗门</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套</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17</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上顶广告牌制作</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米</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包括焊钢架 贴铝塑板</w:t>
            </w: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18</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pvc落水管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米</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19</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室内墙面用木饰面板装饰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44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tblCellMar>
            <w:top w:w="0" w:type="dxa"/>
            <w:left w:w="0" w:type="dxa"/>
            <w:bottom w:w="0" w:type="dxa"/>
            <w:right w:w="0" w:type="dxa"/>
          </w:tblCellMar>
        </w:tblPrEx>
        <w:trPr>
          <w:trHeight w:val="6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20</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材料运输搬运垃圾清理搬运清运费</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70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华文仿宋" w:hAnsi="华文仿宋" w:eastAsia="华文仿宋" w:cs="华文仿宋"/>
                <w:i w:val="0"/>
                <w:color w:val="000000"/>
                <w:sz w:val="22"/>
                <w:szCs w:val="22"/>
                <w:u w:val="none"/>
              </w:rPr>
            </w:pPr>
          </w:p>
        </w:tc>
      </w:tr>
      <w:tr>
        <w:tblPrEx>
          <w:shd w:val="clear" w:color="auto" w:fill="auto"/>
          <w:tblCellMar>
            <w:top w:w="0" w:type="dxa"/>
            <w:left w:w="0" w:type="dxa"/>
            <w:bottom w:w="0" w:type="dxa"/>
            <w:right w:w="0" w:type="dxa"/>
          </w:tblCellMar>
        </w:tblPrEx>
        <w:trPr>
          <w:trHeight w:val="549" w:hRule="atLeast"/>
        </w:trPr>
        <w:tc>
          <w:tcPr>
            <w:tcW w:w="595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总计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22"/>
                <w:szCs w:val="22"/>
                <w:u w:val="none"/>
              </w:rPr>
            </w:pPr>
            <w:r>
              <w:rPr>
                <w:rFonts w:hint="default" w:ascii="华文仿宋" w:hAnsi="华文仿宋" w:eastAsia="华文仿宋" w:cs="华文仿宋"/>
                <w:i w:val="0"/>
                <w:color w:val="000000"/>
                <w:kern w:val="0"/>
                <w:sz w:val="22"/>
                <w:szCs w:val="22"/>
                <w:u w:val="none"/>
                <w:lang w:val="en-US" w:eastAsia="zh-CN" w:bidi="ar"/>
              </w:rPr>
              <w:t>本报价含税</w:t>
            </w:r>
          </w:p>
        </w:tc>
      </w:tr>
    </w:tbl>
    <w:p>
      <w:pPr>
        <w:rPr>
          <w:rFonts w:ascii="Arial"/>
          <w:sz w:val="21"/>
        </w:rPr>
      </w:pPr>
    </w:p>
    <w:p>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五、项目要求</w:t>
      </w:r>
    </w:p>
    <w:p>
      <w:pPr>
        <w:numPr>
          <w:ilvl w:val="0"/>
          <w:numId w:val="0"/>
        </w:num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、设备采购</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由施工方进行工程施工，签订合同后，依据合同约定按时采购相关材料并进行安装施工。</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、施工方法</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施工方自行准备相关设备，</w:t>
      </w:r>
      <w:r>
        <w:rPr>
          <w:rFonts w:hint="eastAsia" w:ascii="仿宋" w:hAnsi="仿宋" w:eastAsia="仿宋" w:cs="仿宋"/>
          <w:sz w:val="24"/>
          <w:szCs w:val="24"/>
          <w:lang w:val="en-US" w:eastAsia="zh-CN"/>
        </w:rPr>
        <w:t>施工方人员负责施工后的检查及清理工作。</w:t>
      </w:r>
    </w:p>
    <w:p>
      <w:pPr>
        <w:spacing w:line="284" w:lineRule="auto"/>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六、 技术要求</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、该工程以全包方式对此次要求的微型消防站进行改造施工。</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、施工技术要求包括但不限于下列内容：</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 开工前应准备好工具及辅助材料，各项防护措施到位，注意成品及环境的保护，且不能影响本单位正常办公。</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 在施工作业时应派专人负责，严密组织、严格检查，确保施工质量。</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 进场施工前，施工单位须到现场详细查看，配备齐全所需全部工具、辅材。</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 施工完毕及时清理现场卫生，清运施工垃圾。</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 安全措施：</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2.5.1 施工方对其在本项目中的施工人员应购买意外伤害险。</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2.5.2 施工方施工人员劳动保护用品穿戴整齐。</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2.5.3 施工方施工人员施工前首先检查核对电气线路电源是否切断，是否挂牌和有专人负责看管；</w:t>
      </w:r>
    </w:p>
    <w:p>
      <w:pPr>
        <w:spacing w:line="284"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2.5.4 施工方施工人员各种工具使用前应检查并严格按照操作规程执行；</w:t>
      </w:r>
    </w:p>
    <w:p>
      <w:pPr>
        <w:spacing w:line="284" w:lineRule="auto"/>
        <w:ind w:firstLine="480" w:firstLineChars="200"/>
        <w:rPr>
          <w:rFonts w:hint="eastAsia"/>
          <w:lang w:val="en-US" w:eastAsia="zh-CN"/>
        </w:rPr>
      </w:pPr>
      <w:r>
        <w:rPr>
          <w:rFonts w:hint="eastAsia" w:ascii="仿宋" w:hAnsi="仿宋" w:eastAsia="仿宋" w:cs="仿宋"/>
          <w:sz w:val="24"/>
          <w:szCs w:val="24"/>
          <w:lang w:val="en-US" w:eastAsia="zh-CN"/>
        </w:rPr>
        <w:t>2.5.5 施工方应严格按照甲方的安全防范要求执行；</w:t>
      </w:r>
      <w:r>
        <w:rPr>
          <w:rFonts w:hint="eastAsia"/>
          <w:lang w:val="en-US" w:eastAsia="zh-CN"/>
        </w:rPr>
        <w:t xml:space="preserve"> </w:t>
      </w:r>
    </w:p>
    <w:p>
      <w:pPr>
        <w:pStyle w:val="2"/>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七、评分标准</w:t>
      </w:r>
    </w:p>
    <w:tbl>
      <w:tblPr>
        <w:tblStyle w:val="7"/>
        <w:tblpPr w:leftFromText="180" w:rightFromText="180" w:vertAnchor="text" w:horzAnchor="page" w:tblpX="669" w:tblpY="514"/>
        <w:tblOverlap w:val="never"/>
        <w:tblW w:w="10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85"/>
        <w:gridCol w:w="1400"/>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position w:val="-3"/>
                <w:sz w:val="21"/>
                <w:szCs w:val="21"/>
                <w:highlight w:val="none"/>
              </w:rPr>
              <w:br w:type="page"/>
            </w:r>
            <w:r>
              <w:rPr>
                <w:rFonts w:hint="eastAsia" w:ascii="仿宋" w:hAnsi="仿宋" w:eastAsia="仿宋" w:cs="仿宋"/>
                <w:sz w:val="21"/>
                <w:szCs w:val="21"/>
                <w:highlight w:val="none"/>
              </w:rPr>
              <w:t>序号</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类别</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满分100分</w:t>
            </w:r>
          </w:p>
        </w:tc>
        <w:tc>
          <w:tcPr>
            <w:tcW w:w="739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得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732" w:type="dxa"/>
            <w:gridSpan w:val="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商务部分（</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50" w:type="dxa"/>
            <w:noWrap w:val="0"/>
            <w:vAlign w:val="center"/>
          </w:tcPr>
          <w:p>
            <w:pPr>
              <w:pStyle w:val="13"/>
              <w:jc w:val="center"/>
              <w:rPr>
                <w:rFonts w:hint="eastAsia" w:ascii="仿宋" w:hAnsi="仿宋" w:eastAsia="仿宋" w:cs="仿宋"/>
                <w:position w:val="-3"/>
                <w:sz w:val="21"/>
                <w:szCs w:val="21"/>
                <w:highlight w:val="none"/>
                <w:lang w:val="en-US" w:eastAsia="zh-CN"/>
              </w:rPr>
            </w:pPr>
            <w:r>
              <w:rPr>
                <w:b w:val="0"/>
                <w:bCs/>
                <w:sz w:val="22"/>
              </w:rPr>
              <w:t>1</w:t>
            </w:r>
          </w:p>
        </w:tc>
        <w:tc>
          <w:tcPr>
            <w:tcW w:w="1185" w:type="dxa"/>
            <w:noWrap w:val="0"/>
            <w:vAlign w:val="center"/>
          </w:tcPr>
          <w:p>
            <w:pPr>
              <w:pStyle w:val="13"/>
              <w:jc w:val="center"/>
              <w:rPr>
                <w:rFonts w:hint="eastAsia" w:ascii="仿宋" w:hAnsi="仿宋" w:eastAsia="仿宋" w:cs="仿宋"/>
                <w:sz w:val="21"/>
                <w:szCs w:val="21"/>
                <w:highlight w:val="none"/>
              </w:rPr>
            </w:pPr>
            <w:r>
              <w:rPr>
                <w:b w:val="0"/>
                <w:bCs/>
                <w:sz w:val="22"/>
              </w:rPr>
              <w:t>价格部分</w:t>
            </w:r>
          </w:p>
        </w:tc>
        <w:tc>
          <w:tcPr>
            <w:tcW w:w="1400" w:type="dxa"/>
            <w:noWrap w:val="0"/>
            <w:vAlign w:val="center"/>
          </w:tcPr>
          <w:p>
            <w:pPr>
              <w:pStyle w:val="13"/>
              <w:jc w:val="center"/>
              <w:rPr>
                <w:rFonts w:hint="eastAsia" w:ascii="仿宋" w:hAnsi="仿宋" w:eastAsia="仿宋" w:cs="仿宋"/>
                <w:sz w:val="21"/>
                <w:szCs w:val="21"/>
                <w:highlight w:val="none"/>
              </w:rPr>
            </w:pPr>
            <w:r>
              <w:rPr>
                <w:rFonts w:hint="eastAsia"/>
                <w:b w:val="0"/>
                <w:bCs/>
                <w:sz w:val="22"/>
                <w:lang w:val="en-US" w:eastAsia="zh-CN"/>
              </w:rPr>
              <w:t>40</w:t>
            </w:r>
            <w:r>
              <w:rPr>
                <w:b w:val="0"/>
                <w:bCs/>
                <w:sz w:val="22"/>
              </w:rPr>
              <w:t xml:space="preserve"> 分</w:t>
            </w:r>
          </w:p>
        </w:tc>
        <w:tc>
          <w:tcPr>
            <w:tcW w:w="7397" w:type="dxa"/>
            <w:noWrap w:val="0"/>
            <w:vAlign w:val="center"/>
          </w:tcPr>
          <w:p>
            <w:pPr>
              <w:pStyle w:val="13"/>
              <w:jc w:val="left"/>
              <w:rPr>
                <w:rFonts w:hint="eastAsia" w:ascii="仿宋" w:hAnsi="仿宋" w:eastAsia="仿宋" w:cs="仿宋"/>
                <w:sz w:val="21"/>
                <w:szCs w:val="21"/>
                <w:highlight w:val="none"/>
              </w:rPr>
            </w:pPr>
            <w:r>
              <w:rPr>
                <w:b w:val="0"/>
                <w:bCs/>
                <w:sz w:val="22"/>
              </w:rPr>
              <w:t>价格分计算方法：满足要求且</w:t>
            </w:r>
            <w:r>
              <w:rPr>
                <w:rFonts w:hint="eastAsia"/>
                <w:b w:val="0"/>
                <w:bCs/>
                <w:sz w:val="22"/>
                <w:lang w:val="en-US" w:eastAsia="zh-CN"/>
              </w:rPr>
              <w:t>报价</w:t>
            </w:r>
            <w:r>
              <w:rPr>
                <w:b w:val="0"/>
                <w:bCs/>
                <w:sz w:val="22"/>
              </w:rPr>
              <w:t>最低的为评标基准价，其价格分为</w:t>
            </w:r>
            <w:r>
              <w:rPr>
                <w:rFonts w:hint="eastAsia"/>
                <w:b w:val="0"/>
                <w:bCs/>
                <w:sz w:val="22"/>
                <w:lang w:val="en-US" w:eastAsia="zh-CN"/>
              </w:rPr>
              <w:t>30</w:t>
            </w:r>
            <w:r>
              <w:rPr>
                <w:b w:val="0"/>
                <w:bCs/>
                <w:sz w:val="22"/>
              </w:rPr>
              <w:t>分。其他投标人的价格分统一按照下列公式计算：投标报价得分=(评标基准价／投标报价)×价格权重（</w:t>
            </w:r>
            <w:r>
              <w:rPr>
                <w:rFonts w:hint="eastAsia"/>
                <w:b w:val="0"/>
                <w:bCs/>
                <w:sz w:val="22"/>
                <w:lang w:val="en-US" w:eastAsia="zh-CN"/>
              </w:rPr>
              <w:t>4</w:t>
            </w:r>
            <w:r>
              <w:rPr>
                <w:b w:val="0"/>
                <w:bCs/>
                <w:sz w:val="22"/>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32" w:type="dxa"/>
            <w:gridSpan w:val="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50" w:type="dxa"/>
            <w:noWrap w:val="0"/>
            <w:vAlign w:val="center"/>
          </w:tcPr>
          <w:p>
            <w:pPr>
              <w:pStyle w:val="13"/>
              <w:jc w:val="center"/>
              <w:rPr>
                <w:rFonts w:hint="eastAsia" w:ascii="仿宋" w:hAnsi="仿宋" w:eastAsia="仿宋" w:cs="仿宋"/>
                <w:sz w:val="21"/>
                <w:szCs w:val="21"/>
                <w:highlight w:val="none"/>
              </w:rPr>
            </w:pPr>
            <w:r>
              <w:rPr>
                <w:rFonts w:hint="eastAsia"/>
                <w:b w:val="0"/>
                <w:bCs/>
                <w:sz w:val="22"/>
                <w:lang w:val="en-US" w:eastAsia="zh-CN"/>
              </w:rPr>
              <w:t>2</w:t>
            </w:r>
          </w:p>
        </w:tc>
        <w:tc>
          <w:tcPr>
            <w:tcW w:w="1185" w:type="dxa"/>
            <w:noWrap w:val="0"/>
            <w:vAlign w:val="center"/>
          </w:tcPr>
          <w:p>
            <w:pPr>
              <w:pStyle w:val="13"/>
              <w:jc w:val="center"/>
              <w:rPr>
                <w:rFonts w:hint="eastAsia" w:ascii="仿宋" w:hAnsi="仿宋" w:eastAsia="仿宋" w:cs="仿宋"/>
                <w:sz w:val="21"/>
                <w:szCs w:val="21"/>
                <w:highlight w:val="none"/>
              </w:rPr>
            </w:pPr>
            <w:r>
              <w:rPr>
                <w:rFonts w:hint="eastAsia"/>
                <w:b w:val="0"/>
                <w:bCs/>
                <w:sz w:val="22"/>
                <w:lang w:val="en-US" w:eastAsia="zh-CN"/>
              </w:rPr>
              <w:t>企业认证</w:t>
            </w:r>
          </w:p>
        </w:tc>
        <w:tc>
          <w:tcPr>
            <w:tcW w:w="1400" w:type="dxa"/>
            <w:noWrap w:val="0"/>
            <w:vAlign w:val="center"/>
          </w:tcPr>
          <w:p>
            <w:pPr>
              <w:pStyle w:val="13"/>
              <w:jc w:val="center"/>
              <w:rPr>
                <w:rFonts w:hint="eastAsia" w:ascii="仿宋" w:hAnsi="仿宋" w:eastAsia="仿宋" w:cs="仿宋"/>
                <w:sz w:val="21"/>
                <w:szCs w:val="21"/>
                <w:highlight w:val="none"/>
              </w:rPr>
            </w:pPr>
            <w:r>
              <w:rPr>
                <w:rFonts w:hint="eastAsia"/>
                <w:b w:val="0"/>
                <w:bCs/>
                <w:sz w:val="22"/>
                <w:lang w:val="en-US" w:eastAsia="zh-CN"/>
              </w:rPr>
              <w:t>10</w:t>
            </w:r>
            <w:r>
              <w:rPr>
                <w:b w:val="0"/>
                <w:bCs/>
                <w:sz w:val="22"/>
              </w:rPr>
              <w:t xml:space="preserve"> 分</w:t>
            </w:r>
          </w:p>
        </w:tc>
        <w:tc>
          <w:tcPr>
            <w:tcW w:w="7397" w:type="dxa"/>
            <w:noWrap w:val="0"/>
            <w:vAlign w:val="center"/>
          </w:tcPr>
          <w:p>
            <w:pPr>
              <w:pStyle w:val="13"/>
              <w:jc w:val="left"/>
              <w:rPr>
                <w:rFonts w:hint="eastAsia"/>
                <w:b w:val="0"/>
                <w:bCs/>
                <w:sz w:val="22"/>
                <w:lang w:val="en-US" w:eastAsia="zh-CN"/>
              </w:rPr>
            </w:pPr>
            <w:r>
              <w:rPr>
                <w:b w:val="0"/>
                <w:bCs/>
                <w:sz w:val="22"/>
              </w:rPr>
              <w:t>具有</w:t>
            </w:r>
            <w:r>
              <w:rPr>
                <w:rFonts w:hint="eastAsia"/>
                <w:b w:val="0"/>
                <w:bCs/>
                <w:sz w:val="22"/>
                <w:lang w:val="en-US" w:eastAsia="zh-CN"/>
              </w:rPr>
              <w:t>维修资质，并提供营业执照复印件，得10分。</w:t>
            </w:r>
          </w:p>
          <w:p>
            <w:pPr>
              <w:pStyle w:val="13"/>
              <w:jc w:val="left"/>
              <w:rPr>
                <w:rFonts w:hint="eastAsia" w:ascii="仿宋" w:hAnsi="仿宋" w:eastAsia="仿宋" w:cs="仿宋"/>
                <w:sz w:val="21"/>
                <w:szCs w:val="21"/>
                <w:highlight w:val="none"/>
              </w:rPr>
            </w:pPr>
            <w:r>
              <w:rPr>
                <w:rFonts w:hint="eastAsia"/>
                <w:b w:val="0"/>
                <w:bCs/>
                <w:sz w:val="22"/>
                <w:lang w:val="en-US" w:eastAsia="zh-CN"/>
              </w:rPr>
              <w:t>无法提供资质或营业执照等企业认证文件，视为无效文件。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732" w:type="dxa"/>
            <w:gridSpan w:val="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技术部分（</w:t>
            </w:r>
            <w:r>
              <w:rPr>
                <w:rFonts w:hint="eastAsia" w:ascii="仿宋" w:hAnsi="仿宋" w:eastAsia="仿宋" w:cs="仿宋"/>
                <w:sz w:val="21"/>
                <w:szCs w:val="21"/>
                <w:highlight w:val="none"/>
                <w:lang w:val="en-US" w:eastAsia="zh-CN"/>
              </w:rPr>
              <w:t>50</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3</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施工方案</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20</w:t>
            </w:r>
            <w:r>
              <w:rPr>
                <w:rFonts w:hint="eastAsia" w:ascii="宋体" w:hAnsi="宋体" w:eastAsia="宋体" w:cs="宋体"/>
                <w:b w:val="0"/>
                <w:bCs/>
                <w:kern w:val="2"/>
                <w:sz w:val="22"/>
                <w:szCs w:val="24"/>
                <w:lang w:val="en-US" w:eastAsia="zh-CN" w:bidi="zh-CN"/>
              </w:rPr>
              <w:t>分</w:t>
            </w:r>
          </w:p>
        </w:tc>
        <w:tc>
          <w:tcPr>
            <w:tcW w:w="7397" w:type="dxa"/>
            <w:noWrap w:val="0"/>
            <w:vAlign w:val="center"/>
          </w:tcPr>
          <w:p>
            <w:pPr>
              <w:pStyle w:val="13"/>
              <w:jc w:val="left"/>
              <w:rPr>
                <w:rFonts w:hint="eastAsia"/>
                <w:b w:val="0"/>
                <w:bCs/>
                <w:sz w:val="22"/>
                <w:lang w:val="en-US" w:eastAsia="zh-CN"/>
              </w:rPr>
            </w:pPr>
            <w:r>
              <w:rPr>
                <w:rFonts w:hint="eastAsia" w:ascii="宋体" w:hAnsi="宋体" w:eastAsia="宋体" w:cs="宋体"/>
                <w:b w:val="0"/>
                <w:bCs/>
                <w:kern w:val="2"/>
                <w:sz w:val="22"/>
                <w:szCs w:val="24"/>
                <w:lang w:val="en-US" w:eastAsia="zh-CN" w:bidi="zh-CN"/>
              </w:rPr>
              <w:t>对工程整体有深刻认识、表述完整、措施先进，施工段划分清晰、合理，符合规范要求。</w:t>
            </w:r>
            <w:r>
              <w:rPr>
                <w:rFonts w:hint="eastAsia"/>
                <w:b w:val="0"/>
                <w:bCs/>
                <w:sz w:val="22"/>
                <w:lang w:val="en-US" w:eastAsia="zh-CN"/>
              </w:rPr>
              <w:t>服务方案完整，各项措施全面，针对性强得15-20分；</w:t>
            </w:r>
          </w:p>
          <w:p>
            <w:pPr>
              <w:pStyle w:val="13"/>
              <w:jc w:val="left"/>
              <w:rPr>
                <w:rFonts w:hint="eastAsia"/>
                <w:b w:val="0"/>
                <w:bCs/>
                <w:sz w:val="22"/>
                <w:lang w:val="en-US" w:eastAsia="zh-CN"/>
              </w:rPr>
            </w:pPr>
            <w:r>
              <w:rPr>
                <w:rFonts w:hint="eastAsia"/>
                <w:b w:val="0"/>
                <w:bCs/>
                <w:sz w:val="22"/>
                <w:lang w:val="en-US" w:eastAsia="zh-CN"/>
              </w:rPr>
              <w:t>服务方案较完整，各项措施不够全面，针对性一般得8-14分；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kern w:val="2"/>
                <w:sz w:val="22"/>
                <w:szCs w:val="24"/>
                <w:lang w:val="en-US" w:eastAsia="zh-CN" w:bidi="zh-CN"/>
              </w:rPr>
            </w:pPr>
            <w:r>
              <w:rPr>
                <w:rFonts w:hint="eastAsia"/>
                <w:b w:val="0"/>
                <w:bCs/>
                <w:sz w:val="22"/>
                <w:lang w:val="en-US" w:eastAsia="zh-CN"/>
              </w:rPr>
              <w:t>服务方案不完整，各项措施不全面，针对性较差得1-7分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4</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安全文明施工措施计划</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10</w:t>
            </w:r>
            <w:r>
              <w:rPr>
                <w:rFonts w:hint="eastAsia" w:ascii="宋体" w:hAnsi="宋体" w:eastAsia="宋体" w:cs="宋体"/>
                <w:b w:val="0"/>
                <w:bCs/>
                <w:kern w:val="2"/>
                <w:sz w:val="22"/>
                <w:szCs w:val="24"/>
                <w:lang w:val="en-US" w:eastAsia="zh-CN" w:bidi="zh-CN"/>
              </w:rPr>
              <w:t>分</w:t>
            </w:r>
          </w:p>
        </w:tc>
        <w:tc>
          <w:tcPr>
            <w:tcW w:w="73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文明施工保护机构健全，措施合理、可行，针对项目实际情况，有先进、可行、具体措施。</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default"/>
                <w:lang w:val="en-US" w:eastAsia="zh-CN"/>
              </w:rPr>
            </w:pPr>
            <w:r>
              <w:rPr>
                <w:rFonts w:hint="eastAsia"/>
                <w:lang w:val="en-US" w:eastAsia="zh-CN"/>
              </w:rPr>
              <w:t>措施合理、可行，针对性强，有先进、可行、具体措施，得8-10分。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措施较合理、可行，针对性一般得4-7分。</w:t>
            </w:r>
          </w:p>
          <w:p>
            <w:pPr>
              <w:pStyle w:val="2"/>
              <w:ind w:left="0" w:leftChars="0" w:firstLine="0" w:firstLineChars="0"/>
              <w:rPr>
                <w:rFonts w:hint="default"/>
                <w:lang w:val="en-US" w:eastAsia="zh-CN"/>
              </w:rPr>
            </w:pPr>
            <w:r>
              <w:rPr>
                <w:rFonts w:hint="eastAsia"/>
                <w:lang w:val="en-US" w:eastAsia="zh-CN"/>
              </w:rPr>
              <w:t>措施不合理、可行，针对性差得1-3分。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5</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质量保证措施计划</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10</w:t>
            </w:r>
            <w:r>
              <w:rPr>
                <w:rFonts w:hint="eastAsia" w:ascii="宋体" w:hAnsi="宋体" w:eastAsia="宋体" w:cs="宋体"/>
                <w:b w:val="0"/>
                <w:bCs/>
                <w:kern w:val="2"/>
                <w:sz w:val="22"/>
                <w:szCs w:val="24"/>
                <w:lang w:val="en-US" w:eastAsia="zh-CN" w:bidi="zh-CN"/>
              </w:rPr>
              <w:t>分</w:t>
            </w:r>
          </w:p>
        </w:tc>
        <w:tc>
          <w:tcPr>
            <w:tcW w:w="739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针对项目实际情况有先进、可行、具体保证措施。</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宋体" w:hAnsi="宋体" w:cs="宋体"/>
                <w:b w:val="0"/>
                <w:bCs/>
                <w:kern w:val="2"/>
                <w:sz w:val="22"/>
                <w:szCs w:val="24"/>
                <w:lang w:val="en-US" w:eastAsia="zh-CN" w:bidi="zh-CN"/>
              </w:rPr>
              <w:t>保障措施</w:t>
            </w:r>
            <w:r>
              <w:rPr>
                <w:rFonts w:hint="eastAsia" w:ascii="Calibri" w:hAnsi="Calibri" w:eastAsia="宋体" w:cs="Times New Roman"/>
                <w:kern w:val="2"/>
                <w:sz w:val="21"/>
                <w:szCs w:val="24"/>
                <w:lang w:val="en-US" w:eastAsia="zh-CN" w:bidi="ar-SA"/>
              </w:rPr>
              <w:t>合理准确</w:t>
            </w:r>
            <w:r>
              <w:rPr>
                <w:rFonts w:hint="eastAsia" w:cs="Times New Roman"/>
                <w:kern w:val="2"/>
                <w:sz w:val="21"/>
                <w:szCs w:val="24"/>
                <w:lang w:val="en-US" w:eastAsia="zh-CN" w:bidi="ar-SA"/>
              </w:rPr>
              <w:t>，措施全面</w:t>
            </w:r>
            <w:r>
              <w:rPr>
                <w:rFonts w:hint="eastAsia" w:ascii="Calibri" w:hAnsi="Calibri" w:eastAsia="宋体" w:cs="Times New Roman"/>
                <w:kern w:val="2"/>
                <w:sz w:val="21"/>
                <w:szCs w:val="24"/>
                <w:lang w:val="en-US" w:eastAsia="zh-CN" w:bidi="ar-SA"/>
              </w:rPr>
              <w:t>得</w:t>
            </w:r>
            <w:r>
              <w:rPr>
                <w:rFonts w:hint="eastAsia" w:cs="Times New Roman"/>
                <w:kern w:val="2"/>
                <w:sz w:val="21"/>
                <w:szCs w:val="24"/>
                <w:lang w:val="en-US" w:eastAsia="zh-CN" w:bidi="ar-SA"/>
              </w:rPr>
              <w:t>8</w:t>
            </w:r>
            <w:r>
              <w:rPr>
                <w:rFonts w:hint="eastAsia" w:ascii="Calibri" w:hAnsi="Calibri" w:eastAsia="宋体" w:cs="Times New Roman"/>
                <w:kern w:val="2"/>
                <w:sz w:val="21"/>
                <w:szCs w:val="24"/>
                <w:lang w:val="en-US" w:eastAsia="zh-CN" w:bidi="ar-SA"/>
              </w:rPr>
              <w:t>-1</w:t>
            </w:r>
            <w:r>
              <w:rPr>
                <w:rFonts w:hint="eastAsia" w:cs="Times New Roman"/>
                <w:kern w:val="2"/>
                <w:sz w:val="21"/>
                <w:szCs w:val="24"/>
                <w:lang w:val="en-US" w:eastAsia="zh-CN" w:bidi="ar-SA"/>
              </w:rPr>
              <w:t>0</w:t>
            </w:r>
            <w:r>
              <w:rPr>
                <w:rFonts w:hint="eastAsia" w:ascii="Calibri" w:hAnsi="Calibri" w:eastAsia="宋体" w:cs="Times New Roman"/>
                <w:kern w:val="2"/>
                <w:sz w:val="21"/>
                <w:szCs w:val="24"/>
                <w:lang w:val="en-US" w:eastAsia="zh-CN" w:bidi="ar-SA"/>
              </w:rPr>
              <w:t>分</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宋体" w:hAnsi="宋体" w:cs="宋体"/>
                <w:b w:val="0"/>
                <w:bCs/>
                <w:kern w:val="2"/>
                <w:sz w:val="22"/>
                <w:szCs w:val="24"/>
                <w:lang w:val="en-US" w:eastAsia="zh-CN" w:bidi="zh-CN"/>
              </w:rPr>
              <w:t>保障措施</w:t>
            </w:r>
            <w:r>
              <w:rPr>
                <w:rFonts w:hint="eastAsia" w:cs="Times New Roman"/>
                <w:kern w:val="2"/>
                <w:sz w:val="21"/>
                <w:szCs w:val="24"/>
                <w:lang w:val="en-US" w:eastAsia="zh-CN" w:bidi="ar-SA"/>
              </w:rPr>
              <w:t>较</w:t>
            </w:r>
            <w:r>
              <w:rPr>
                <w:rFonts w:hint="eastAsia" w:ascii="Calibri" w:hAnsi="Calibri" w:eastAsia="宋体" w:cs="Times New Roman"/>
                <w:kern w:val="2"/>
                <w:sz w:val="21"/>
                <w:szCs w:val="24"/>
                <w:lang w:val="en-US" w:eastAsia="zh-CN" w:bidi="ar-SA"/>
              </w:rPr>
              <w:t>合理准确，措施</w:t>
            </w:r>
            <w:r>
              <w:rPr>
                <w:rFonts w:hint="eastAsia" w:cs="Times New Roman"/>
                <w:kern w:val="2"/>
                <w:sz w:val="21"/>
                <w:szCs w:val="24"/>
                <w:lang w:val="en-US" w:eastAsia="zh-CN" w:bidi="ar-SA"/>
              </w:rPr>
              <w:t>不够</w:t>
            </w:r>
            <w:r>
              <w:rPr>
                <w:rFonts w:hint="eastAsia" w:ascii="Calibri" w:hAnsi="Calibri" w:eastAsia="宋体" w:cs="Times New Roman"/>
                <w:kern w:val="2"/>
                <w:sz w:val="21"/>
                <w:szCs w:val="24"/>
                <w:lang w:val="en-US" w:eastAsia="zh-CN" w:bidi="ar-SA"/>
              </w:rPr>
              <w:t>全面得</w:t>
            </w:r>
            <w:r>
              <w:rPr>
                <w:rFonts w:hint="eastAsia" w:cs="Times New Roman"/>
                <w:kern w:val="2"/>
                <w:sz w:val="21"/>
                <w:szCs w:val="24"/>
                <w:lang w:val="en-US" w:eastAsia="zh-CN" w:bidi="ar-SA"/>
              </w:rPr>
              <w:t>4</w:t>
            </w:r>
            <w:r>
              <w:rPr>
                <w:rFonts w:hint="eastAsia" w:ascii="Calibri" w:hAnsi="Calibri" w:eastAsia="宋体" w:cs="Times New Roman"/>
                <w:kern w:val="2"/>
                <w:sz w:val="21"/>
                <w:szCs w:val="24"/>
                <w:lang w:val="en-US" w:eastAsia="zh-CN" w:bidi="ar-SA"/>
              </w:rPr>
              <w:t>-</w:t>
            </w:r>
            <w:r>
              <w:rPr>
                <w:rFonts w:hint="eastAsia" w:cs="Times New Roman"/>
                <w:kern w:val="2"/>
                <w:sz w:val="21"/>
                <w:szCs w:val="24"/>
                <w:lang w:val="en-US" w:eastAsia="zh-CN" w:bidi="ar-SA"/>
              </w:rPr>
              <w:t>7</w:t>
            </w:r>
            <w:r>
              <w:rPr>
                <w:rFonts w:hint="eastAsia" w:ascii="Calibri" w:hAnsi="Calibri" w:eastAsia="宋体" w:cs="Times New Roman"/>
                <w:kern w:val="2"/>
                <w:sz w:val="21"/>
                <w:szCs w:val="24"/>
                <w:lang w:val="en-US" w:eastAsia="zh-CN" w:bidi="ar-SA"/>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保障措施不</w:t>
            </w:r>
            <w:r>
              <w:rPr>
                <w:rFonts w:hint="eastAsia" w:ascii="Calibri" w:hAnsi="Calibri" w:eastAsia="宋体" w:cs="Times New Roman"/>
                <w:kern w:val="2"/>
                <w:sz w:val="21"/>
                <w:szCs w:val="24"/>
                <w:lang w:val="en-US" w:eastAsia="zh-CN" w:bidi="ar-SA"/>
              </w:rPr>
              <w:t>合理准确，措施</w:t>
            </w:r>
            <w:r>
              <w:rPr>
                <w:rFonts w:hint="eastAsia" w:cs="Times New Roman"/>
                <w:kern w:val="2"/>
                <w:sz w:val="21"/>
                <w:szCs w:val="24"/>
                <w:lang w:val="en-US" w:eastAsia="zh-CN" w:bidi="ar-SA"/>
              </w:rPr>
              <w:t>不</w:t>
            </w:r>
            <w:r>
              <w:rPr>
                <w:rFonts w:hint="eastAsia" w:ascii="Calibri" w:hAnsi="Calibri" w:eastAsia="宋体" w:cs="Times New Roman"/>
                <w:kern w:val="2"/>
                <w:sz w:val="21"/>
                <w:szCs w:val="24"/>
                <w:lang w:val="en-US" w:eastAsia="zh-CN" w:bidi="ar-SA"/>
              </w:rPr>
              <w:t>全面</w:t>
            </w:r>
            <w:r>
              <w:rPr>
                <w:rFonts w:hint="eastAsia" w:cs="Times New Roman"/>
                <w:kern w:val="2"/>
                <w:sz w:val="21"/>
                <w:szCs w:val="24"/>
                <w:lang w:val="en-US" w:eastAsia="zh-CN" w:bidi="ar-SA"/>
              </w:rPr>
              <w:t>得</w:t>
            </w:r>
            <w:r>
              <w:rPr>
                <w:rFonts w:hint="eastAsia" w:ascii="Calibri" w:hAnsi="Calibri" w:eastAsia="宋体" w:cs="Times New Roman"/>
                <w:kern w:val="2"/>
                <w:sz w:val="21"/>
                <w:szCs w:val="24"/>
                <w:lang w:val="en-US" w:eastAsia="zh-CN" w:bidi="ar-SA"/>
              </w:rPr>
              <w:t>1</w:t>
            </w:r>
            <w:r>
              <w:rPr>
                <w:rFonts w:hint="eastAsia" w:cs="Times New Roman"/>
                <w:kern w:val="2"/>
                <w:sz w:val="21"/>
                <w:szCs w:val="24"/>
                <w:lang w:val="en-US" w:eastAsia="zh-CN" w:bidi="ar-SA"/>
              </w:rPr>
              <w:t>-3</w:t>
            </w:r>
            <w:r>
              <w:rPr>
                <w:rFonts w:hint="eastAsia" w:ascii="Calibri" w:hAnsi="Calibri" w:eastAsia="宋体" w:cs="Times New Roman"/>
                <w:kern w:val="2"/>
                <w:sz w:val="21"/>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6</w:t>
            </w:r>
          </w:p>
        </w:tc>
        <w:tc>
          <w:tcPr>
            <w:tcW w:w="118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设计图纸</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kern w:val="2"/>
                <w:sz w:val="22"/>
                <w:szCs w:val="24"/>
                <w:lang w:val="en-US" w:eastAsia="zh-CN" w:bidi="zh-CN"/>
              </w:rPr>
            </w:pPr>
            <w:r>
              <w:rPr>
                <w:rFonts w:hint="eastAsia" w:ascii="宋体" w:hAnsi="宋体" w:cs="宋体"/>
                <w:b w:val="0"/>
                <w:bCs/>
                <w:kern w:val="2"/>
                <w:sz w:val="22"/>
                <w:szCs w:val="24"/>
                <w:lang w:val="en-US" w:eastAsia="zh-CN" w:bidi="zh-CN"/>
              </w:rPr>
              <w:t>10</w:t>
            </w:r>
            <w:r>
              <w:rPr>
                <w:rFonts w:hint="eastAsia" w:ascii="宋体" w:hAnsi="宋体" w:eastAsia="宋体" w:cs="宋体"/>
                <w:b w:val="0"/>
                <w:bCs/>
                <w:kern w:val="2"/>
                <w:sz w:val="22"/>
                <w:szCs w:val="24"/>
                <w:lang w:val="en-US" w:eastAsia="zh-CN" w:bidi="zh-CN"/>
              </w:rPr>
              <w:t>分</w:t>
            </w:r>
          </w:p>
        </w:tc>
        <w:tc>
          <w:tcPr>
            <w:tcW w:w="739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kern w:val="2"/>
                <w:sz w:val="22"/>
                <w:szCs w:val="24"/>
                <w:lang w:val="en-US" w:eastAsia="zh-CN" w:bidi="zh-CN"/>
              </w:rPr>
            </w:pPr>
            <w:r>
              <w:rPr>
                <w:rFonts w:hint="eastAsia" w:ascii="宋体" w:hAnsi="宋体" w:eastAsia="宋体" w:cs="宋体"/>
                <w:b w:val="0"/>
                <w:bCs/>
                <w:kern w:val="2"/>
                <w:sz w:val="22"/>
                <w:szCs w:val="24"/>
                <w:lang w:val="en-US" w:eastAsia="zh-CN" w:bidi="zh-CN"/>
              </w:rPr>
              <w:t>施工图纸</w:t>
            </w:r>
            <w:r>
              <w:rPr>
                <w:rFonts w:hint="eastAsia" w:ascii="宋体" w:hAnsi="宋体" w:cs="宋体"/>
                <w:b w:val="0"/>
                <w:bCs/>
                <w:kern w:val="2"/>
                <w:sz w:val="22"/>
                <w:szCs w:val="24"/>
                <w:lang w:val="en-US" w:eastAsia="zh-CN" w:bidi="zh-CN"/>
              </w:rPr>
              <w:t>及效果图</w:t>
            </w:r>
            <w:r>
              <w:rPr>
                <w:rFonts w:hint="eastAsia" w:ascii="宋体" w:hAnsi="宋体" w:eastAsia="宋体" w:cs="宋体"/>
                <w:b w:val="0"/>
                <w:bCs/>
                <w:kern w:val="2"/>
                <w:sz w:val="22"/>
                <w:szCs w:val="24"/>
                <w:lang w:val="en-US" w:eastAsia="zh-CN" w:bidi="zh-CN"/>
              </w:rPr>
              <w:t>符合采购要求，创意新颖，达到数量要求，得</w:t>
            </w:r>
            <w:r>
              <w:rPr>
                <w:rFonts w:hint="eastAsia" w:ascii="宋体" w:hAnsi="宋体" w:cs="宋体"/>
                <w:b w:val="0"/>
                <w:bCs/>
                <w:kern w:val="2"/>
                <w:sz w:val="22"/>
                <w:szCs w:val="24"/>
                <w:lang w:val="en-US" w:eastAsia="zh-CN" w:bidi="zh-CN"/>
              </w:rPr>
              <w:t>10</w:t>
            </w:r>
            <w:r>
              <w:rPr>
                <w:rFonts w:hint="eastAsia" w:ascii="宋体" w:hAnsi="宋体" w:eastAsia="宋体" w:cs="宋体"/>
                <w:b w:val="0"/>
                <w:bCs/>
                <w:kern w:val="2"/>
                <w:sz w:val="22"/>
                <w:szCs w:val="24"/>
                <w:lang w:val="en-US" w:eastAsia="zh-CN" w:bidi="zh-CN"/>
              </w:rPr>
              <w:t>分；缺项不得分。</w:t>
            </w:r>
          </w:p>
        </w:tc>
      </w:tr>
    </w:tbl>
    <w:p>
      <w:pPr>
        <w:pStyle w:val="6"/>
        <w:numPr>
          <w:ilvl w:val="0"/>
          <w:numId w:val="0"/>
        </w:numPr>
        <w:ind w:leftChars="200"/>
        <w:rPr>
          <w:rFonts w:hint="default"/>
          <w:lang w:val="en-US" w:eastAsia="zh-CN"/>
        </w:rPr>
      </w:pPr>
    </w:p>
    <w:p>
      <w:pPr>
        <w:pStyle w:val="6"/>
        <w:ind w:left="0" w:leftChars="0" w:firstLine="480" w:firstLineChars="200"/>
        <w:rPr>
          <w:rFonts w:hint="default" w:ascii="仿宋" w:hAnsi="仿宋" w:eastAsia="仿宋" w:cs="仿宋"/>
          <w:sz w:val="24"/>
          <w:szCs w:val="32"/>
          <w:lang w:val="en-US" w:eastAsia="zh-CN"/>
        </w:rPr>
      </w:pPr>
    </w:p>
    <w:p>
      <w:pPr>
        <w:pStyle w:val="6"/>
        <w:numPr>
          <w:ilvl w:val="0"/>
          <w:numId w:val="0"/>
        </w:numPr>
        <w:ind w:leftChars="200"/>
        <w:rPr>
          <w:rFonts w:hint="default"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p>
      <w:pPr>
        <w:pStyle w:val="6"/>
        <w:numPr>
          <w:ilvl w:val="0"/>
          <w:numId w:val="0"/>
        </w:numPr>
        <w:ind w:leftChars="200"/>
        <w:rPr>
          <w:rFonts w:hint="eastAsia" w:ascii="仿宋" w:hAnsi="仿宋" w:eastAsia="仿宋" w:cs="仿宋"/>
          <w:sz w:val="24"/>
          <w:szCs w:val="32"/>
          <w:lang w:val="en-US" w:eastAsia="zh-CN"/>
        </w:rPr>
      </w:pPr>
    </w:p>
    <w:p>
      <w:pPr>
        <w:tabs>
          <w:tab w:val="left" w:pos="5113"/>
        </w:tabs>
        <w:bidi w:val="0"/>
        <w:jc w:val="left"/>
        <w:rPr>
          <w:rFonts w:hint="eastAsia"/>
          <w:lang w:val="en-US" w:eastAsia="zh-CN"/>
        </w:rPr>
      </w:pPr>
    </w:p>
    <w:sectPr>
      <w:type w:val="continuous"/>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3A96FE6"/>
    <w:rsid w:val="073E237B"/>
    <w:rsid w:val="0DC363ED"/>
    <w:rsid w:val="101C450C"/>
    <w:rsid w:val="118232F4"/>
    <w:rsid w:val="14385C7A"/>
    <w:rsid w:val="1475255D"/>
    <w:rsid w:val="15516881"/>
    <w:rsid w:val="16335C26"/>
    <w:rsid w:val="19457B5B"/>
    <w:rsid w:val="1A6C7833"/>
    <w:rsid w:val="1B951185"/>
    <w:rsid w:val="1F1226C3"/>
    <w:rsid w:val="21243ED3"/>
    <w:rsid w:val="26B67141"/>
    <w:rsid w:val="2911509E"/>
    <w:rsid w:val="2D3C2017"/>
    <w:rsid w:val="2DB32E3C"/>
    <w:rsid w:val="2DEB7395"/>
    <w:rsid w:val="2E641555"/>
    <w:rsid w:val="35951024"/>
    <w:rsid w:val="36FA000E"/>
    <w:rsid w:val="38A83A80"/>
    <w:rsid w:val="3CE1135C"/>
    <w:rsid w:val="405B41FF"/>
    <w:rsid w:val="43162995"/>
    <w:rsid w:val="4C590A63"/>
    <w:rsid w:val="4E2B176A"/>
    <w:rsid w:val="4F5E5174"/>
    <w:rsid w:val="507D70FE"/>
    <w:rsid w:val="511D18DA"/>
    <w:rsid w:val="51C668F3"/>
    <w:rsid w:val="52095C02"/>
    <w:rsid w:val="56A34BDA"/>
    <w:rsid w:val="58E30A20"/>
    <w:rsid w:val="5E731F38"/>
    <w:rsid w:val="5F993B0F"/>
    <w:rsid w:val="62FF4D6E"/>
    <w:rsid w:val="63AF5B3D"/>
    <w:rsid w:val="64803D26"/>
    <w:rsid w:val="651E2259"/>
    <w:rsid w:val="65A40FE9"/>
    <w:rsid w:val="6E962789"/>
    <w:rsid w:val="6FBD260D"/>
    <w:rsid w:val="75223045"/>
    <w:rsid w:val="75762262"/>
    <w:rsid w:val="78C14C97"/>
    <w:rsid w:val="7AAF2D79"/>
    <w:rsid w:val="7B242292"/>
    <w:rsid w:val="7DAF26CD"/>
    <w:rsid w:val="7DBB1A64"/>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a heading"/>
    <w:basedOn w:val="1"/>
    <w:next w:val="1"/>
    <w:qFormat/>
    <w:uiPriority w:val="0"/>
    <w:rPr>
      <w:rFonts w:ascii="Arial" w:hAnsi="Arial" w:cs="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2057</Words>
  <Characters>2268</Characters>
  <Lines>0</Lines>
  <Paragraphs>0</Paragraphs>
  <TotalTime>149</TotalTime>
  <ScaleCrop>false</ScaleCrop>
  <LinksUpToDate>false</LinksUpToDate>
  <CharactersWithSpaces>2306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2023-04-11T09:00:00Z</cp:lastPrinted>
  <dcterms:modified xsi:type="dcterms:W3CDTF">2023-04-12T04:52:32Z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237FAB9CF4694C73BBF231CCB71A4831</vt:lpwstr>
  </property>
</Properties>
</file>