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西馆留用电缆保护施工项目招募公告</w:t>
      </w:r>
    </w:p>
    <w:p>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2023年4月13日12时</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山东国际会展集团有限公司根据实际情况和经营管理需要，对西馆西广场留用电缆保护施工项目服务商进行询价，现诚邀资质合格的单位参加报价，请按项目列表所列明细给出相应报价。</w:t>
      </w:r>
    </w:p>
    <w:p>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pPr>
        <w:keepNext w:val="0"/>
        <w:keepLines w:val="0"/>
        <w:widowControl/>
        <w:numPr>
          <w:ilvl w:val="0"/>
          <w:numId w:val="2"/>
        </w:numPr>
        <w:suppressLineNumbers w:val="0"/>
        <w:spacing w:line="360" w:lineRule="auto"/>
        <w:ind w:firstLine="480" w:firstLineChars="200"/>
        <w:jc w:val="left"/>
        <w:textAlignment w:val="center"/>
        <w:rPr>
          <w:rFonts w:hint="default"/>
          <w:color w:val="auto"/>
          <w:lang w:val="en-US" w:eastAsia="zh-CN"/>
        </w:rPr>
      </w:pPr>
      <w:r>
        <w:rPr>
          <w:rFonts w:hint="eastAsia" w:ascii="仿宋" w:hAnsi="仿宋" w:eastAsia="仿宋" w:cs="仿宋"/>
          <w:b w:val="0"/>
          <w:bCs w:val="0"/>
          <w:i w:val="0"/>
          <w:color w:val="000000"/>
          <w:kern w:val="0"/>
          <w:sz w:val="24"/>
          <w:szCs w:val="24"/>
          <w:u w:val="none"/>
          <w:lang w:val="en-US" w:eastAsia="zh-CN" w:bidi="ar"/>
        </w:rPr>
        <w:t>项目内容：</w:t>
      </w:r>
      <w:r>
        <w:rPr>
          <w:rFonts w:hint="eastAsia" w:ascii="仿宋" w:hAnsi="仿宋" w:eastAsia="仿宋" w:cs="仿宋"/>
          <w:b w:val="0"/>
          <w:bCs w:val="0"/>
          <w:i w:val="0"/>
          <w:color w:val="auto"/>
          <w:kern w:val="0"/>
          <w:sz w:val="24"/>
          <w:szCs w:val="24"/>
          <w:u w:val="none"/>
          <w:lang w:val="en-US" w:eastAsia="zh-CN" w:bidi="ar"/>
        </w:rPr>
        <w:t>西馆西广场留用电缆保护施工，保证使用持久安全，包括安装保护套、埋地，建设电缆井、砌基座、安装配电箱及开关等。（详见项目清单）</w:t>
      </w:r>
    </w:p>
    <w:p>
      <w:pPr>
        <w:pStyle w:val="2"/>
        <w:ind w:left="0" w:leftChars="0" w:firstLine="0" w:firstLineChars="0"/>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 xml:space="preserve">    （二）项目控价：42000元（含税）</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auto"/>
          <w:kern w:val="0"/>
          <w:sz w:val="28"/>
          <w:szCs w:val="28"/>
          <w:u w:val="none"/>
          <w:lang w:val="en-US" w:eastAsia="zh-CN" w:bidi="ar"/>
        </w:rPr>
      </w:pPr>
      <w:r>
        <w:rPr>
          <w:rFonts w:hint="eastAsia" w:ascii="楷体" w:hAnsi="楷体" w:eastAsia="楷体" w:cs="楷体"/>
          <w:b/>
          <w:bCs/>
          <w:i w:val="0"/>
          <w:color w:val="auto"/>
          <w:kern w:val="0"/>
          <w:sz w:val="28"/>
          <w:szCs w:val="28"/>
          <w:u w:val="none"/>
          <w:lang w:val="en-US" w:eastAsia="zh-CN" w:bidi="ar"/>
        </w:rPr>
        <w:t>参与报价企业资质要求</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auto"/>
          <w:kern w:val="0"/>
          <w:sz w:val="24"/>
          <w:szCs w:val="24"/>
          <w:u w:val="none"/>
          <w:lang w:val="en-US" w:eastAsia="zh-CN" w:bidi="ar"/>
        </w:rPr>
      </w:pPr>
      <w:r>
        <w:rPr>
          <w:rFonts w:hint="default" w:ascii="仿宋" w:hAnsi="仿宋" w:eastAsia="仿宋" w:cs="仿宋"/>
          <w:b w:val="0"/>
          <w:bCs w:val="0"/>
          <w:i w:val="0"/>
          <w:color w:val="auto"/>
          <w:kern w:val="0"/>
          <w:sz w:val="24"/>
          <w:szCs w:val="24"/>
          <w:u w:val="none"/>
          <w:lang w:val="en-US" w:eastAsia="zh-CN" w:bidi="ar"/>
        </w:rPr>
        <w:t>参与本次项目的</w:t>
      </w:r>
      <w:r>
        <w:rPr>
          <w:rFonts w:hint="eastAsia" w:ascii="仿宋" w:hAnsi="仿宋" w:eastAsia="仿宋" w:cs="仿宋"/>
          <w:b w:val="0"/>
          <w:bCs w:val="0"/>
          <w:i w:val="0"/>
          <w:color w:val="auto"/>
          <w:kern w:val="0"/>
          <w:sz w:val="24"/>
          <w:szCs w:val="24"/>
          <w:u w:val="none"/>
          <w:lang w:val="en-US" w:eastAsia="zh-CN" w:bidi="ar"/>
        </w:rPr>
        <w:t>企业</w:t>
      </w:r>
      <w:r>
        <w:rPr>
          <w:rFonts w:hint="default" w:ascii="仿宋" w:hAnsi="仿宋" w:eastAsia="仿宋" w:cs="仿宋"/>
          <w:b w:val="0"/>
          <w:bCs w:val="0"/>
          <w:i w:val="0"/>
          <w:color w:val="auto"/>
          <w:kern w:val="0"/>
          <w:sz w:val="24"/>
          <w:szCs w:val="24"/>
          <w:u w:val="none"/>
          <w:lang w:val="en-US" w:eastAsia="zh-CN" w:bidi="ar"/>
        </w:rPr>
        <w:t>单位</w:t>
      </w:r>
      <w:r>
        <w:rPr>
          <w:rFonts w:hint="eastAsia" w:ascii="仿宋" w:hAnsi="仿宋" w:eastAsia="仿宋" w:cs="仿宋"/>
          <w:b w:val="0"/>
          <w:bCs w:val="0"/>
          <w:i w:val="0"/>
          <w:color w:val="auto"/>
          <w:kern w:val="0"/>
          <w:sz w:val="24"/>
          <w:szCs w:val="24"/>
          <w:u w:val="none"/>
          <w:lang w:val="en-US" w:eastAsia="zh-CN" w:bidi="ar"/>
        </w:rPr>
        <w:t>（包含个体户）必须是在中华人民共和国境内注册；具有工程施工</w:t>
      </w:r>
      <w:r>
        <w:rPr>
          <w:rFonts w:hint="eastAsia" w:ascii="仿宋" w:hAnsi="仿宋" w:eastAsia="仿宋" w:cs="仿宋"/>
          <w:b w:val="0"/>
          <w:bCs w:val="0"/>
          <w:i w:val="0"/>
          <w:color w:val="auto"/>
          <w:kern w:val="0"/>
          <w:sz w:val="24"/>
          <w:szCs w:val="24"/>
          <w:u w:val="none"/>
          <w:lang w:val="en-US" w:eastAsia="zh-CN" w:bidi="ar"/>
        </w:rPr>
        <w:t>资质</w:t>
      </w:r>
      <w:r>
        <w:rPr>
          <w:rFonts w:hint="eastAsia" w:ascii="仿宋" w:hAnsi="仿宋" w:eastAsia="仿宋" w:cs="仿宋"/>
          <w:b w:val="0"/>
          <w:bCs w:val="0"/>
          <w:i w:val="0"/>
          <w:color w:val="auto"/>
          <w:kern w:val="0"/>
          <w:sz w:val="24"/>
          <w:szCs w:val="24"/>
          <w:u w:val="none"/>
          <w:lang w:val="en-US" w:eastAsia="zh-CN" w:bidi="ar"/>
        </w:rPr>
        <w:t>；</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pPr>
        <w:pStyle w:val="2"/>
        <w:ind w:left="0" w:leftChars="0" w:firstLine="480" w:firstLineChars="200"/>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（四）本项目不接受联合体投标。</w:t>
      </w:r>
    </w:p>
    <w:p>
      <w:pPr>
        <w:keepNext w:val="0"/>
        <w:keepLines w:val="0"/>
        <w:widowControl/>
        <w:numPr>
          <w:ilvl w:val="0"/>
          <w:numId w:val="0"/>
        </w:numPr>
        <w:suppressLineNumbers w:val="0"/>
        <w:spacing w:line="360" w:lineRule="auto"/>
        <w:ind w:leftChars="200" w:firstLine="281"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三、招募要求及回传方式</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（一）招募要求</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1、按项目询价单准确填报，报价为含税价。</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2、明确货品规格型号，</w:t>
      </w:r>
      <w:r>
        <w:rPr>
          <w:rFonts w:hint="eastAsia" w:ascii="仿宋" w:hAnsi="仿宋" w:eastAsia="仿宋" w:cs="仿宋"/>
          <w:b/>
          <w:bCs/>
          <w:i w:val="0"/>
          <w:color w:val="000000"/>
          <w:kern w:val="0"/>
          <w:sz w:val="24"/>
          <w:szCs w:val="24"/>
          <w:u w:val="none"/>
          <w:lang w:val="en-US" w:eastAsia="zh-CN" w:bidi="ar"/>
        </w:rPr>
        <w:t>有规格要求注明的请严格按提供规格报价</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需具备与本项目有关的各项资质证明（复印件盖公章）。</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参与报价单位请在接收询价单后5天内（4</w:t>
      </w:r>
      <w:r>
        <w:rPr>
          <w:rFonts w:hint="eastAsia" w:ascii="仿宋" w:hAnsi="仿宋" w:eastAsia="仿宋" w:cs="仿宋"/>
          <w:b/>
          <w:bCs/>
          <w:i w:val="0"/>
          <w:color w:val="auto"/>
          <w:kern w:val="0"/>
          <w:sz w:val="24"/>
          <w:szCs w:val="24"/>
          <w:u w:val="none"/>
          <w:lang w:val="en-US" w:eastAsia="zh-CN" w:bidi="ar"/>
        </w:rPr>
        <w:t>月18日12时截止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（注：1、快件外部请写明项目名称，例：西馆电缆保护施工项目。2、</w:t>
      </w:r>
      <w:r>
        <w:rPr>
          <w:rStyle w:val="10"/>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10"/>
          <w:rFonts w:hint="eastAsia" w:ascii="仿宋" w:hAnsi="仿宋" w:eastAsia="仿宋" w:cs="仿宋"/>
          <w:b/>
          <w:bCs/>
          <w:i w:val="0"/>
          <w:caps w:val="0"/>
          <w:color w:val="212529"/>
          <w:spacing w:val="0"/>
          <w:sz w:val="24"/>
          <w:szCs w:val="24"/>
          <w:shd w:val="clear" w:fill="FFFFFF"/>
          <w:lang w:eastAsia="zh-CN"/>
        </w:rPr>
        <w:t>。</w:t>
      </w:r>
      <w:r>
        <w:rPr>
          <w:rStyle w:val="10"/>
          <w:rFonts w:hint="eastAsia" w:ascii="仿宋" w:hAnsi="仿宋" w:eastAsia="仿宋" w:cs="仿宋"/>
          <w:b/>
          <w:bCs/>
          <w:i w:val="0"/>
          <w:caps w:val="0"/>
          <w:color w:val="212529"/>
          <w:spacing w:val="0"/>
          <w:sz w:val="24"/>
          <w:szCs w:val="24"/>
          <w:shd w:val="clear" w:fill="FFFFFF"/>
          <w:lang w:val="en-US" w:eastAsia="zh-CN"/>
        </w:rPr>
        <w:t>3</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w:t>
      </w:r>
      <w:r>
        <w:rPr>
          <w:rStyle w:val="11"/>
          <w:rFonts w:hint="eastAsia" w:ascii="仿宋" w:hAnsi="仿宋" w:eastAsia="仿宋" w:cs="仿宋"/>
          <w:b/>
          <w:bCs/>
          <w:i w:val="0"/>
          <w:color w:val="000000"/>
          <w:kern w:val="0"/>
          <w:sz w:val="24"/>
          <w:szCs w:val="24"/>
          <w:u w:val="none"/>
          <w:lang w:val="en-US" w:eastAsia="zh-CN" w:bidi="ar"/>
        </w:rPr>
        <w:t>sdgjhzzbcg@163.com以便于统计投标单位数量，邮箱主题名称格式：公司名称+项目名称</w:t>
      </w:r>
      <w:r>
        <w:rPr>
          <w:rFonts w:hint="eastAsia" w:ascii="仿宋" w:hAnsi="仿宋" w:eastAsia="仿宋" w:cs="仿宋"/>
          <w:b/>
          <w:bCs/>
          <w:i w:val="0"/>
          <w:color w:val="000000"/>
          <w:kern w:val="0"/>
          <w:sz w:val="24"/>
          <w:szCs w:val="24"/>
          <w:u w:val="none"/>
          <w:lang w:val="en-US" w:eastAsia="zh-CN" w:bidi="ar"/>
        </w:rPr>
        <w:t>）</w:t>
      </w:r>
    </w:p>
    <w:p>
      <w:pPr>
        <w:pStyle w:val="2"/>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如有疑问请联系，项目技术咨询：</w:t>
      </w:r>
      <w:r>
        <w:rPr>
          <w:rFonts w:hint="eastAsia" w:ascii="仿宋" w:hAnsi="仿宋" w:eastAsia="仿宋" w:cs="仿宋"/>
          <w:color w:val="auto"/>
          <w:sz w:val="24"/>
          <w:szCs w:val="32"/>
          <w:lang w:val="en-US" w:eastAsia="zh-CN"/>
        </w:rPr>
        <w:t>0531-81255968</w:t>
      </w:r>
      <w:r>
        <w:rPr>
          <w:rFonts w:hint="eastAsia" w:ascii="仿宋" w:hAnsi="仿宋" w:eastAsia="仿宋" w:cs="仿宋"/>
          <w:sz w:val="24"/>
          <w:szCs w:val="32"/>
          <w:lang w:val="en-US" w:eastAsia="zh-CN"/>
        </w:rPr>
        <w:t>；项目流程咨询：0531-81255925。</w:t>
      </w:r>
    </w:p>
    <w:p>
      <w:pPr>
        <w:keepNext w:val="0"/>
        <w:keepLines w:val="0"/>
        <w:widowControl/>
        <w:numPr>
          <w:ilvl w:val="0"/>
          <w:numId w:val="0"/>
        </w:numPr>
        <w:suppressLineNumbers w:val="0"/>
        <w:spacing w:line="360" w:lineRule="auto"/>
        <w:ind w:left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四、项目清单</w:t>
      </w:r>
    </w:p>
    <w:tbl>
      <w:tblPr>
        <w:tblStyle w:val="7"/>
        <w:tblpPr w:leftFromText="180" w:rightFromText="180" w:vertAnchor="text" w:horzAnchor="page" w:tblpX="1365" w:tblpY="164"/>
        <w:tblOverlap w:val="never"/>
        <w:tblW w:w="92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9"/>
        <w:gridCol w:w="1469"/>
        <w:gridCol w:w="1877"/>
        <w:gridCol w:w="3390"/>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项目内容</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工程量（米）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沟槽开挖</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300*500</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切割开挖；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上下沙垫层25cm；C30混凝土+彩色沥青，地面20cm</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电缆敷设</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电缆敷设及接头</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防雨配电柜</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1000*800</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配315隔离开关（开关为西门子）</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绿化带开挖恢复</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300*300</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开挖恢复</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防火封堵</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桥架防火封堵</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配电柜围挡</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2000*3000</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配电柜基础</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2000*800*150</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混凝土基础及检修井</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pPr>
        <w:rPr>
          <w:rFonts w:ascii="Arial"/>
          <w:sz w:val="21"/>
        </w:rPr>
      </w:pPr>
    </w:p>
    <w:p>
      <w:pPr>
        <w:keepNext w:val="0"/>
        <w:keepLines w:val="0"/>
        <w:widowControl/>
        <w:numPr>
          <w:ilvl w:val="0"/>
          <w:numId w:val="0"/>
        </w:numPr>
        <w:suppressLineNumbers w:val="0"/>
        <w:spacing w:line="360" w:lineRule="auto"/>
        <w:ind w:leftChars="200"/>
        <w:jc w:val="left"/>
        <w:textAlignment w:val="center"/>
        <w:rPr>
          <w:rFonts w:hint="default"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五、项目要求</w:t>
      </w:r>
    </w:p>
    <w:p>
      <w:pPr>
        <w:numPr>
          <w:ilvl w:val="0"/>
          <w:numId w:val="0"/>
        </w:num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 、设备采购</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由施工方进行工程施工，签订合同后，依据合同约定按时采购设备并进行安装施工。</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 、施工方法</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施工方提供机械设备，</w:t>
      </w:r>
      <w:r>
        <w:rPr>
          <w:rFonts w:hint="eastAsia" w:ascii="仿宋" w:hAnsi="仿宋" w:eastAsia="仿宋" w:cs="仿宋"/>
          <w:sz w:val="24"/>
          <w:szCs w:val="24"/>
          <w:lang w:val="en-US" w:eastAsia="zh-CN"/>
        </w:rPr>
        <w:t>施工方人员负责施工后的检查及调试工作。</w:t>
      </w:r>
    </w:p>
    <w:p>
      <w:pPr>
        <w:spacing w:line="284" w:lineRule="auto"/>
        <w:ind w:firstLine="562" w:firstLineChars="200"/>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六、 技术要求</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 、该工程以全包方式对此次要求的电缆进行保护施工。</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 、施工技术要求包括但不限于下列内容：</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 开工前应准备好工具及辅助材料，各项防护措施到位，注意成品及环境的保护，且不能影响本单位正常办公。</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 在施工作业时应派专人负责，严密组织、严格检查，确保施工质量。</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 进场施工前，施工单位须到现场详细查看，配备齐全所需全部工具、辅材。</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 施工完毕及时清理现场卫生，清运施工垃圾。</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 安全措施：</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2.5.1 施工方对其在本项目中的施工人员应购买意外伤害险。</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2.5.2 施工方施工人员劳动保护用品穿戴整齐。</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2.5.3 施工方施工人员施工前首先检查核对电气线路电源是否切断，是否挂牌和有专人负责看管；</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2.5.4 施工方施工人员各种工具使用前应检查并严格按照操作规程执行；</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2.5.5 施工方应严格按照甲方的安全防范要求执行；；</w:t>
      </w:r>
    </w:p>
    <w:p>
      <w:pPr>
        <w:pStyle w:val="3"/>
        <w:rPr>
          <w:rFonts w:hint="eastAsia"/>
          <w:lang w:val="en-US" w:eastAsia="zh-CN"/>
        </w:rPr>
      </w:pPr>
      <w:r>
        <w:rPr>
          <w:rFonts w:hint="eastAsia" w:ascii="楷体" w:hAnsi="楷体" w:eastAsia="楷体" w:cs="楷体"/>
          <w:b/>
          <w:bCs/>
          <w:sz w:val="28"/>
          <w:szCs w:val="36"/>
          <w:lang w:val="en-US" w:eastAsia="zh-CN"/>
        </w:rPr>
        <w:t>七、评分标准</w:t>
      </w:r>
    </w:p>
    <w:tbl>
      <w:tblPr>
        <w:tblStyle w:val="7"/>
        <w:tblpPr w:leftFromText="180" w:rightFromText="180" w:vertAnchor="text" w:horzAnchor="page" w:tblpX="669" w:tblpY="514"/>
        <w:tblOverlap w:val="never"/>
        <w:tblW w:w="10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85"/>
        <w:gridCol w:w="1400"/>
        <w:gridCol w:w="7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5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highlight w:val="none"/>
              </w:rPr>
            </w:pPr>
            <w:r>
              <w:rPr>
                <w:rFonts w:hint="eastAsia" w:ascii="仿宋" w:hAnsi="仿宋" w:eastAsia="仿宋" w:cs="仿宋"/>
                <w:position w:val="-3"/>
                <w:sz w:val="21"/>
                <w:szCs w:val="21"/>
                <w:highlight w:val="none"/>
              </w:rPr>
              <w:br w:type="page"/>
            </w:r>
            <w:r>
              <w:rPr>
                <w:rFonts w:hint="eastAsia" w:ascii="仿宋" w:hAnsi="仿宋" w:eastAsia="仿宋" w:cs="仿宋"/>
                <w:sz w:val="21"/>
                <w:szCs w:val="21"/>
                <w:highlight w:val="none"/>
              </w:rPr>
              <w:t>序号</w:t>
            </w:r>
          </w:p>
        </w:tc>
        <w:tc>
          <w:tcPr>
            <w:tcW w:w="118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类别</w:t>
            </w:r>
          </w:p>
        </w:tc>
        <w:tc>
          <w:tcPr>
            <w:tcW w:w="14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满分100分</w:t>
            </w:r>
          </w:p>
        </w:tc>
        <w:tc>
          <w:tcPr>
            <w:tcW w:w="7397"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得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0732" w:type="dxa"/>
            <w:gridSpan w:val="4"/>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商务部分（</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50" w:type="dxa"/>
            <w:noWrap w:val="0"/>
            <w:vAlign w:val="center"/>
          </w:tcPr>
          <w:p>
            <w:pPr>
              <w:pStyle w:val="13"/>
              <w:jc w:val="center"/>
              <w:rPr>
                <w:rFonts w:hint="eastAsia" w:ascii="仿宋" w:hAnsi="仿宋" w:eastAsia="仿宋" w:cs="仿宋"/>
                <w:position w:val="-3"/>
                <w:sz w:val="21"/>
                <w:szCs w:val="21"/>
                <w:highlight w:val="none"/>
                <w:lang w:val="en-US" w:eastAsia="zh-CN"/>
              </w:rPr>
            </w:pPr>
            <w:r>
              <w:rPr>
                <w:b w:val="0"/>
                <w:bCs/>
                <w:sz w:val="22"/>
              </w:rPr>
              <w:t>1</w:t>
            </w:r>
          </w:p>
        </w:tc>
        <w:tc>
          <w:tcPr>
            <w:tcW w:w="1185" w:type="dxa"/>
            <w:noWrap w:val="0"/>
            <w:vAlign w:val="center"/>
          </w:tcPr>
          <w:p>
            <w:pPr>
              <w:pStyle w:val="13"/>
              <w:jc w:val="center"/>
              <w:rPr>
                <w:rFonts w:hint="eastAsia" w:ascii="仿宋" w:hAnsi="仿宋" w:eastAsia="仿宋" w:cs="仿宋"/>
                <w:sz w:val="21"/>
                <w:szCs w:val="21"/>
                <w:highlight w:val="none"/>
              </w:rPr>
            </w:pPr>
            <w:r>
              <w:rPr>
                <w:b w:val="0"/>
                <w:bCs/>
                <w:sz w:val="22"/>
              </w:rPr>
              <w:t>价格部分</w:t>
            </w:r>
          </w:p>
        </w:tc>
        <w:tc>
          <w:tcPr>
            <w:tcW w:w="1400" w:type="dxa"/>
            <w:noWrap w:val="0"/>
            <w:vAlign w:val="center"/>
          </w:tcPr>
          <w:p>
            <w:pPr>
              <w:pStyle w:val="13"/>
              <w:jc w:val="center"/>
              <w:rPr>
                <w:rFonts w:hint="eastAsia" w:ascii="仿宋" w:hAnsi="仿宋" w:eastAsia="仿宋" w:cs="仿宋"/>
                <w:sz w:val="21"/>
                <w:szCs w:val="21"/>
                <w:highlight w:val="none"/>
              </w:rPr>
            </w:pPr>
            <w:r>
              <w:rPr>
                <w:rFonts w:hint="eastAsia"/>
                <w:b w:val="0"/>
                <w:bCs/>
                <w:sz w:val="22"/>
                <w:lang w:val="en-US" w:eastAsia="zh-CN"/>
              </w:rPr>
              <w:t>40</w:t>
            </w:r>
            <w:r>
              <w:rPr>
                <w:b w:val="0"/>
                <w:bCs/>
                <w:sz w:val="22"/>
              </w:rPr>
              <w:t xml:space="preserve"> 分</w:t>
            </w:r>
          </w:p>
        </w:tc>
        <w:tc>
          <w:tcPr>
            <w:tcW w:w="7397" w:type="dxa"/>
            <w:noWrap w:val="0"/>
            <w:vAlign w:val="center"/>
          </w:tcPr>
          <w:p>
            <w:pPr>
              <w:pStyle w:val="13"/>
              <w:jc w:val="left"/>
              <w:rPr>
                <w:rFonts w:hint="eastAsia" w:ascii="仿宋" w:hAnsi="仿宋" w:eastAsia="仿宋" w:cs="仿宋"/>
                <w:sz w:val="21"/>
                <w:szCs w:val="21"/>
                <w:highlight w:val="none"/>
              </w:rPr>
            </w:pPr>
            <w:r>
              <w:rPr>
                <w:b w:val="0"/>
                <w:bCs/>
                <w:sz w:val="22"/>
              </w:rPr>
              <w:t>价格分计算方法：满足要求且</w:t>
            </w:r>
            <w:r>
              <w:rPr>
                <w:rFonts w:hint="eastAsia"/>
                <w:b w:val="0"/>
                <w:bCs/>
                <w:sz w:val="22"/>
                <w:lang w:val="en-US" w:eastAsia="zh-CN"/>
              </w:rPr>
              <w:t>报价</w:t>
            </w:r>
            <w:r>
              <w:rPr>
                <w:b w:val="0"/>
                <w:bCs/>
                <w:sz w:val="22"/>
              </w:rPr>
              <w:t>最低的为评标基准价，其价格分为</w:t>
            </w:r>
            <w:r>
              <w:rPr>
                <w:rFonts w:hint="eastAsia"/>
                <w:b w:val="0"/>
                <w:bCs/>
                <w:sz w:val="22"/>
                <w:lang w:val="en-US" w:eastAsia="zh-CN"/>
              </w:rPr>
              <w:t>40</w:t>
            </w:r>
            <w:r>
              <w:rPr>
                <w:b w:val="0"/>
                <w:bCs/>
                <w:sz w:val="22"/>
              </w:rPr>
              <w:t>分。其他投标人的价格分统一按照下列公式计算：投标报价得分=(评标基准价／投标报价)×价格权重（</w:t>
            </w:r>
            <w:r>
              <w:rPr>
                <w:rFonts w:hint="eastAsia"/>
                <w:b w:val="0"/>
                <w:bCs/>
                <w:sz w:val="22"/>
                <w:lang w:val="en-US" w:eastAsia="zh-CN"/>
              </w:rPr>
              <w:t>4</w:t>
            </w:r>
            <w:r>
              <w:rPr>
                <w:b w:val="0"/>
                <w:bCs/>
                <w:sz w:val="22"/>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750" w:type="dxa"/>
            <w:noWrap w:val="0"/>
            <w:vAlign w:val="center"/>
          </w:tcPr>
          <w:p>
            <w:pPr>
              <w:pStyle w:val="13"/>
              <w:jc w:val="center"/>
              <w:rPr>
                <w:rFonts w:hint="eastAsia" w:ascii="仿宋" w:hAnsi="仿宋" w:eastAsia="仿宋" w:cs="仿宋"/>
                <w:sz w:val="21"/>
                <w:szCs w:val="21"/>
                <w:highlight w:val="none"/>
              </w:rPr>
            </w:pPr>
            <w:r>
              <w:rPr>
                <w:rFonts w:hint="eastAsia"/>
                <w:b w:val="0"/>
                <w:bCs/>
                <w:sz w:val="22"/>
                <w:lang w:val="en-US" w:eastAsia="zh-CN"/>
              </w:rPr>
              <w:t>2</w:t>
            </w:r>
          </w:p>
        </w:tc>
        <w:tc>
          <w:tcPr>
            <w:tcW w:w="1185" w:type="dxa"/>
            <w:noWrap w:val="0"/>
            <w:vAlign w:val="center"/>
          </w:tcPr>
          <w:p>
            <w:pPr>
              <w:pStyle w:val="13"/>
              <w:jc w:val="center"/>
              <w:rPr>
                <w:rFonts w:hint="eastAsia" w:ascii="仿宋" w:hAnsi="仿宋" w:eastAsia="仿宋" w:cs="仿宋"/>
                <w:sz w:val="21"/>
                <w:szCs w:val="21"/>
                <w:highlight w:val="none"/>
              </w:rPr>
            </w:pPr>
            <w:r>
              <w:rPr>
                <w:rFonts w:hint="eastAsia"/>
                <w:b w:val="0"/>
                <w:bCs/>
                <w:sz w:val="22"/>
                <w:lang w:val="en-US" w:eastAsia="zh-CN"/>
              </w:rPr>
              <w:t>企业认证</w:t>
            </w:r>
          </w:p>
        </w:tc>
        <w:tc>
          <w:tcPr>
            <w:tcW w:w="1400" w:type="dxa"/>
            <w:noWrap w:val="0"/>
            <w:vAlign w:val="center"/>
          </w:tcPr>
          <w:p>
            <w:pPr>
              <w:pStyle w:val="13"/>
              <w:jc w:val="center"/>
              <w:rPr>
                <w:rFonts w:hint="eastAsia" w:ascii="仿宋" w:hAnsi="仿宋" w:eastAsia="仿宋" w:cs="仿宋"/>
                <w:sz w:val="21"/>
                <w:szCs w:val="21"/>
                <w:highlight w:val="none"/>
              </w:rPr>
            </w:pPr>
            <w:r>
              <w:rPr>
                <w:rFonts w:hint="eastAsia"/>
                <w:b w:val="0"/>
                <w:bCs/>
                <w:sz w:val="22"/>
                <w:lang w:val="en-US" w:eastAsia="zh-CN"/>
              </w:rPr>
              <w:t>10</w:t>
            </w:r>
            <w:r>
              <w:rPr>
                <w:b w:val="0"/>
                <w:bCs/>
                <w:sz w:val="22"/>
              </w:rPr>
              <w:t xml:space="preserve"> 分</w:t>
            </w:r>
          </w:p>
        </w:tc>
        <w:tc>
          <w:tcPr>
            <w:tcW w:w="7397" w:type="dxa"/>
            <w:noWrap w:val="0"/>
            <w:vAlign w:val="center"/>
          </w:tcPr>
          <w:p>
            <w:pPr>
              <w:pStyle w:val="13"/>
              <w:jc w:val="left"/>
              <w:rPr>
                <w:rFonts w:hint="eastAsia"/>
                <w:b w:val="0"/>
                <w:bCs/>
                <w:sz w:val="22"/>
                <w:lang w:val="en-US" w:eastAsia="zh-CN"/>
              </w:rPr>
            </w:pPr>
            <w:r>
              <w:rPr>
                <w:rFonts w:hint="eastAsia" w:ascii="宋体" w:hAnsi="宋体" w:eastAsia="宋体" w:cs="宋体"/>
                <w:b w:val="0"/>
                <w:bCs w:val="0"/>
                <w:i w:val="0"/>
                <w:color w:val="auto"/>
                <w:kern w:val="0"/>
                <w:sz w:val="22"/>
                <w:szCs w:val="22"/>
                <w:highlight w:val="none"/>
                <w:u w:val="none"/>
                <w:lang w:val="en-US" w:eastAsia="zh-CN" w:bidi="ar"/>
              </w:rPr>
              <w:t>具有工程施工资质</w:t>
            </w:r>
            <w:r>
              <w:rPr>
                <w:rFonts w:hint="eastAsia"/>
                <w:b w:val="0"/>
                <w:bCs/>
                <w:sz w:val="22"/>
                <w:highlight w:val="none"/>
                <w:lang w:val="en-US" w:eastAsia="zh-CN"/>
              </w:rPr>
              <w:t>，</w:t>
            </w:r>
            <w:r>
              <w:rPr>
                <w:rFonts w:hint="eastAsia"/>
                <w:b w:val="0"/>
                <w:bCs/>
                <w:sz w:val="22"/>
                <w:lang w:val="en-US" w:eastAsia="zh-CN"/>
              </w:rPr>
              <w:t>并提供营业执照复印件，得10分。</w:t>
            </w:r>
          </w:p>
          <w:p>
            <w:pPr>
              <w:pStyle w:val="13"/>
              <w:jc w:val="left"/>
              <w:rPr>
                <w:rFonts w:hint="eastAsia" w:ascii="仿宋" w:hAnsi="仿宋" w:eastAsia="仿宋" w:cs="仿宋"/>
                <w:sz w:val="21"/>
                <w:szCs w:val="21"/>
                <w:highlight w:val="none"/>
              </w:rPr>
            </w:pPr>
            <w:r>
              <w:rPr>
                <w:rFonts w:hint="eastAsia"/>
                <w:b w:val="0"/>
                <w:bCs/>
                <w:sz w:val="22"/>
                <w:lang w:val="en-US" w:eastAsia="zh-CN"/>
              </w:rPr>
              <w:t>无法提供资质或营业执照等企业认证文件，视为无效文件。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732" w:type="dxa"/>
            <w:gridSpan w:val="4"/>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技术部分（</w:t>
            </w:r>
            <w:r>
              <w:rPr>
                <w:rFonts w:hint="eastAsia" w:ascii="仿宋" w:hAnsi="仿宋" w:eastAsia="仿宋" w:cs="仿宋"/>
                <w:sz w:val="21"/>
                <w:szCs w:val="21"/>
                <w:highlight w:val="none"/>
                <w:lang w:val="en-US" w:eastAsia="zh-CN"/>
              </w:rPr>
              <w:t>50</w:t>
            </w:r>
            <w:r>
              <w:rPr>
                <w:rFonts w:hint="eastAsia" w:ascii="仿宋" w:hAnsi="仿宋" w:eastAsia="仿宋" w:cs="仿宋"/>
                <w:sz w:val="21"/>
                <w:szCs w:val="21"/>
                <w:highlight w:val="none"/>
              </w:rPr>
              <w:t>分）</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5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kern w:val="2"/>
                <w:sz w:val="22"/>
                <w:szCs w:val="24"/>
                <w:lang w:val="en-US" w:eastAsia="zh-CN" w:bidi="zh-CN"/>
              </w:rPr>
            </w:pPr>
            <w:r>
              <w:rPr>
                <w:rFonts w:hint="eastAsia" w:ascii="宋体" w:hAnsi="宋体" w:eastAsia="宋体" w:cs="宋体"/>
                <w:b w:val="0"/>
                <w:bCs/>
                <w:kern w:val="2"/>
                <w:sz w:val="22"/>
                <w:szCs w:val="24"/>
                <w:lang w:val="en-US" w:eastAsia="zh-CN" w:bidi="zh-CN"/>
              </w:rPr>
              <w:t>3</w:t>
            </w:r>
          </w:p>
        </w:tc>
        <w:tc>
          <w:tcPr>
            <w:tcW w:w="118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kern w:val="2"/>
                <w:sz w:val="22"/>
                <w:szCs w:val="24"/>
                <w:lang w:val="en-US" w:eastAsia="zh-CN" w:bidi="zh-CN"/>
              </w:rPr>
            </w:pPr>
            <w:r>
              <w:rPr>
                <w:rFonts w:hint="eastAsia" w:ascii="宋体" w:hAnsi="宋体" w:eastAsia="宋体" w:cs="宋体"/>
                <w:b w:val="0"/>
                <w:bCs/>
                <w:kern w:val="2"/>
                <w:sz w:val="22"/>
                <w:szCs w:val="24"/>
                <w:lang w:val="en-US" w:eastAsia="zh-CN" w:bidi="zh-CN"/>
              </w:rPr>
              <w:t>施工方案</w:t>
            </w:r>
          </w:p>
        </w:tc>
        <w:tc>
          <w:tcPr>
            <w:tcW w:w="14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kern w:val="2"/>
                <w:sz w:val="22"/>
                <w:szCs w:val="24"/>
                <w:lang w:val="en-US" w:eastAsia="zh-CN" w:bidi="zh-CN"/>
              </w:rPr>
            </w:pPr>
            <w:r>
              <w:rPr>
                <w:rFonts w:hint="eastAsia" w:ascii="宋体" w:hAnsi="宋体" w:cs="宋体"/>
                <w:b w:val="0"/>
                <w:bCs/>
                <w:kern w:val="2"/>
                <w:sz w:val="22"/>
                <w:szCs w:val="24"/>
                <w:lang w:val="en-US" w:eastAsia="zh-CN" w:bidi="zh-CN"/>
              </w:rPr>
              <w:t>30</w:t>
            </w:r>
            <w:r>
              <w:rPr>
                <w:rFonts w:hint="eastAsia" w:ascii="宋体" w:hAnsi="宋体" w:eastAsia="宋体" w:cs="宋体"/>
                <w:b w:val="0"/>
                <w:bCs/>
                <w:kern w:val="2"/>
                <w:sz w:val="22"/>
                <w:szCs w:val="24"/>
                <w:lang w:val="en-US" w:eastAsia="zh-CN" w:bidi="zh-CN"/>
              </w:rPr>
              <w:t>分</w:t>
            </w:r>
          </w:p>
        </w:tc>
        <w:tc>
          <w:tcPr>
            <w:tcW w:w="7397" w:type="dxa"/>
            <w:noWrap w:val="0"/>
            <w:vAlign w:val="center"/>
          </w:tcPr>
          <w:p>
            <w:pPr>
              <w:pStyle w:val="13"/>
              <w:jc w:val="left"/>
              <w:rPr>
                <w:rFonts w:hint="eastAsia"/>
                <w:b w:val="0"/>
                <w:bCs/>
                <w:sz w:val="22"/>
                <w:lang w:val="en-US" w:eastAsia="zh-CN"/>
              </w:rPr>
            </w:pPr>
            <w:r>
              <w:rPr>
                <w:rFonts w:hint="eastAsia" w:ascii="宋体" w:hAnsi="宋体" w:eastAsia="宋体" w:cs="宋体"/>
                <w:b w:val="0"/>
                <w:bCs/>
                <w:kern w:val="2"/>
                <w:sz w:val="22"/>
                <w:szCs w:val="24"/>
                <w:lang w:val="en-US" w:eastAsia="zh-CN" w:bidi="zh-CN"/>
              </w:rPr>
              <w:t>对工程整体有深刻认识、表述完整、措施先进，施工段划分清晰、合理，符合规范要求。</w:t>
            </w:r>
            <w:r>
              <w:rPr>
                <w:rFonts w:hint="eastAsia"/>
                <w:b w:val="0"/>
                <w:bCs/>
                <w:sz w:val="22"/>
                <w:lang w:val="en-US" w:eastAsia="zh-CN"/>
              </w:rPr>
              <w:t>服务方案完整，各项措施全面，针对性强得20-30分；</w:t>
            </w:r>
          </w:p>
          <w:p>
            <w:pPr>
              <w:pStyle w:val="13"/>
              <w:jc w:val="left"/>
              <w:rPr>
                <w:rFonts w:hint="eastAsia"/>
                <w:b w:val="0"/>
                <w:bCs/>
                <w:sz w:val="22"/>
                <w:lang w:val="en-US" w:eastAsia="zh-CN"/>
              </w:rPr>
            </w:pPr>
            <w:r>
              <w:rPr>
                <w:rFonts w:hint="eastAsia"/>
                <w:b w:val="0"/>
                <w:bCs/>
                <w:sz w:val="22"/>
                <w:lang w:val="en-US" w:eastAsia="zh-CN"/>
              </w:rPr>
              <w:t>服务方案较完整，各项措施不够全面，针对性一般得10-19分；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ascii="宋体" w:hAnsi="宋体" w:eastAsia="宋体" w:cs="宋体"/>
                <w:b w:val="0"/>
                <w:bCs/>
                <w:kern w:val="2"/>
                <w:sz w:val="22"/>
                <w:szCs w:val="24"/>
                <w:lang w:val="en-US" w:eastAsia="zh-CN" w:bidi="zh-CN"/>
              </w:rPr>
            </w:pPr>
            <w:r>
              <w:rPr>
                <w:rFonts w:hint="eastAsia"/>
                <w:b w:val="0"/>
                <w:bCs/>
                <w:sz w:val="22"/>
                <w:lang w:val="en-US" w:eastAsia="zh-CN"/>
              </w:rPr>
              <w:t>服务方案不完整，各项措施不全面，针对性较差得1-9分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trPr>
        <w:tc>
          <w:tcPr>
            <w:tcW w:w="75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kern w:val="2"/>
                <w:sz w:val="22"/>
                <w:szCs w:val="24"/>
                <w:lang w:val="en-US" w:eastAsia="zh-CN" w:bidi="zh-CN"/>
              </w:rPr>
            </w:pPr>
            <w:r>
              <w:rPr>
                <w:rFonts w:hint="eastAsia" w:ascii="宋体" w:hAnsi="宋体" w:cs="宋体"/>
                <w:b w:val="0"/>
                <w:bCs/>
                <w:kern w:val="2"/>
                <w:sz w:val="22"/>
                <w:szCs w:val="24"/>
                <w:lang w:val="en-US" w:eastAsia="zh-CN" w:bidi="zh-CN"/>
              </w:rPr>
              <w:t>4</w:t>
            </w:r>
          </w:p>
        </w:tc>
        <w:tc>
          <w:tcPr>
            <w:tcW w:w="1185" w:type="dxa"/>
            <w:noWrap w:val="0"/>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kern w:val="2"/>
                <w:sz w:val="22"/>
                <w:szCs w:val="24"/>
                <w:lang w:val="en-US" w:eastAsia="zh-CN" w:bidi="zh-CN"/>
              </w:rPr>
            </w:pPr>
            <w:r>
              <w:rPr>
                <w:rFonts w:hint="eastAsia" w:ascii="宋体" w:hAnsi="宋体" w:eastAsia="宋体" w:cs="宋体"/>
                <w:b w:val="0"/>
                <w:bCs/>
                <w:kern w:val="2"/>
                <w:sz w:val="22"/>
                <w:szCs w:val="24"/>
                <w:lang w:val="en-US" w:eastAsia="zh-CN" w:bidi="zh-CN"/>
              </w:rPr>
              <w:t>安全文明施工措施计划</w:t>
            </w:r>
          </w:p>
        </w:tc>
        <w:tc>
          <w:tcPr>
            <w:tcW w:w="14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kern w:val="2"/>
                <w:sz w:val="22"/>
                <w:szCs w:val="24"/>
                <w:lang w:val="en-US" w:eastAsia="zh-CN" w:bidi="zh-CN"/>
              </w:rPr>
            </w:pPr>
            <w:r>
              <w:rPr>
                <w:rFonts w:hint="eastAsia" w:ascii="宋体" w:hAnsi="宋体" w:cs="宋体"/>
                <w:b w:val="0"/>
                <w:bCs/>
                <w:kern w:val="2"/>
                <w:sz w:val="22"/>
                <w:szCs w:val="24"/>
                <w:lang w:val="en-US" w:eastAsia="zh-CN" w:bidi="zh-CN"/>
              </w:rPr>
              <w:t>10</w:t>
            </w:r>
            <w:r>
              <w:rPr>
                <w:rFonts w:hint="eastAsia" w:ascii="宋体" w:hAnsi="宋体" w:eastAsia="宋体" w:cs="宋体"/>
                <w:b w:val="0"/>
                <w:bCs/>
                <w:kern w:val="2"/>
                <w:sz w:val="22"/>
                <w:szCs w:val="24"/>
                <w:lang w:val="en-US" w:eastAsia="zh-CN" w:bidi="zh-CN"/>
              </w:rPr>
              <w:t>分</w:t>
            </w:r>
          </w:p>
        </w:tc>
        <w:tc>
          <w:tcPr>
            <w:tcW w:w="739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lang w:val="en-US" w:eastAsia="zh-CN"/>
              </w:rPr>
            </w:pPr>
            <w:r>
              <w:rPr>
                <w:rFonts w:hint="eastAsia"/>
                <w:lang w:val="en-US" w:eastAsia="zh-CN"/>
              </w:rPr>
              <w:t>文明施工保护机构健全，措施合理、可行，针对项目实际情况，有先进、可行、具体措施。</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lang w:val="en-US" w:eastAsia="zh-CN"/>
              </w:rPr>
            </w:pPr>
            <w:r>
              <w:rPr>
                <w:rFonts w:hint="eastAsia"/>
                <w:lang w:val="en-US" w:eastAsia="zh-CN"/>
              </w:rPr>
              <w:t>措施合理、可行，针对性强，有先进、可行、具体措施，得8-10分。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lang w:val="en-US" w:eastAsia="zh-CN"/>
              </w:rPr>
            </w:pPr>
            <w:r>
              <w:rPr>
                <w:rFonts w:hint="eastAsia"/>
                <w:lang w:val="en-US" w:eastAsia="zh-CN"/>
              </w:rPr>
              <w:t>措施较合理、可行，针对性一般得4-7分。</w:t>
            </w:r>
          </w:p>
          <w:p>
            <w:pPr>
              <w:pStyle w:val="3"/>
              <w:ind w:left="0" w:leftChars="0" w:firstLine="0" w:firstLineChars="0"/>
              <w:rPr>
                <w:rFonts w:hint="default"/>
                <w:lang w:val="en-US" w:eastAsia="zh-CN"/>
              </w:rPr>
            </w:pPr>
            <w:r>
              <w:rPr>
                <w:rFonts w:hint="eastAsia"/>
                <w:lang w:val="en-US" w:eastAsia="zh-CN"/>
              </w:rPr>
              <w:t>措施不合理、可行，针对性差得1-3分。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5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kern w:val="2"/>
                <w:sz w:val="22"/>
                <w:szCs w:val="24"/>
                <w:lang w:val="en-US" w:eastAsia="zh-CN" w:bidi="zh-CN"/>
              </w:rPr>
            </w:pPr>
            <w:r>
              <w:rPr>
                <w:rFonts w:hint="eastAsia" w:ascii="宋体" w:hAnsi="宋体" w:cs="宋体"/>
                <w:b w:val="0"/>
                <w:bCs/>
                <w:kern w:val="2"/>
                <w:sz w:val="22"/>
                <w:szCs w:val="24"/>
                <w:lang w:val="en-US" w:eastAsia="zh-CN" w:bidi="zh-CN"/>
              </w:rPr>
              <w:t>5</w:t>
            </w:r>
          </w:p>
        </w:tc>
        <w:tc>
          <w:tcPr>
            <w:tcW w:w="1185" w:type="dxa"/>
            <w:noWrap w:val="0"/>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kern w:val="2"/>
                <w:sz w:val="22"/>
                <w:szCs w:val="24"/>
                <w:lang w:val="en-US" w:eastAsia="zh-CN" w:bidi="zh-CN"/>
              </w:rPr>
            </w:pPr>
            <w:r>
              <w:rPr>
                <w:rFonts w:hint="eastAsia" w:ascii="宋体" w:hAnsi="宋体" w:eastAsia="宋体" w:cs="宋体"/>
                <w:b w:val="0"/>
                <w:bCs/>
                <w:kern w:val="2"/>
                <w:sz w:val="22"/>
                <w:szCs w:val="24"/>
                <w:lang w:val="en-US" w:eastAsia="zh-CN" w:bidi="zh-CN"/>
              </w:rPr>
              <w:t>质量保证措施计划</w:t>
            </w:r>
          </w:p>
        </w:tc>
        <w:tc>
          <w:tcPr>
            <w:tcW w:w="14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kern w:val="2"/>
                <w:sz w:val="22"/>
                <w:szCs w:val="24"/>
                <w:lang w:val="en-US" w:eastAsia="zh-CN" w:bidi="zh-CN"/>
              </w:rPr>
            </w:pPr>
            <w:r>
              <w:rPr>
                <w:rFonts w:hint="eastAsia" w:ascii="宋体" w:hAnsi="宋体" w:cs="宋体"/>
                <w:b w:val="0"/>
                <w:bCs/>
                <w:kern w:val="2"/>
                <w:sz w:val="22"/>
                <w:szCs w:val="24"/>
                <w:lang w:val="en-US" w:eastAsia="zh-CN" w:bidi="zh-CN"/>
              </w:rPr>
              <w:t>10</w:t>
            </w:r>
            <w:r>
              <w:rPr>
                <w:rFonts w:hint="eastAsia" w:ascii="宋体" w:hAnsi="宋体" w:eastAsia="宋体" w:cs="宋体"/>
                <w:b w:val="0"/>
                <w:bCs/>
                <w:kern w:val="2"/>
                <w:sz w:val="22"/>
                <w:szCs w:val="24"/>
                <w:lang w:val="en-US" w:eastAsia="zh-CN" w:bidi="zh-CN"/>
              </w:rPr>
              <w:t>分</w:t>
            </w:r>
          </w:p>
        </w:tc>
        <w:tc>
          <w:tcPr>
            <w:tcW w:w="7397" w:type="dxa"/>
            <w:noWrap w:val="0"/>
            <w:vAlign w:val="center"/>
          </w:tcPr>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300" w:lineRule="exact"/>
              <w:ind w:left="0" w:leftChars="0" w:firstLine="0" w:firstLineChars="0"/>
              <w:textAlignment w:val="auto"/>
              <w:rPr>
                <w:rFonts w:hint="eastAsia" w:ascii="宋体" w:hAnsi="宋体" w:eastAsia="宋体" w:cs="宋体"/>
                <w:b w:val="0"/>
                <w:bCs/>
                <w:kern w:val="2"/>
                <w:sz w:val="22"/>
                <w:szCs w:val="24"/>
                <w:lang w:val="en-US" w:eastAsia="zh-CN" w:bidi="zh-CN"/>
              </w:rPr>
            </w:pPr>
            <w:r>
              <w:rPr>
                <w:rFonts w:hint="eastAsia" w:ascii="宋体" w:hAnsi="宋体" w:eastAsia="宋体" w:cs="宋体"/>
                <w:b w:val="0"/>
                <w:bCs/>
                <w:kern w:val="2"/>
                <w:sz w:val="22"/>
                <w:szCs w:val="24"/>
                <w:lang w:val="en-US" w:eastAsia="zh-CN" w:bidi="zh-CN"/>
              </w:rPr>
              <w:t>针对项目实际情况有先进、可行、具体保证措施。</w:t>
            </w:r>
          </w:p>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300" w:lineRule="exact"/>
              <w:ind w:left="0" w:leftChars="0" w:firstLine="0" w:firstLineChars="0"/>
              <w:textAlignment w:val="auto"/>
              <w:rPr>
                <w:rFonts w:hint="eastAsia" w:ascii="Calibri" w:hAnsi="Calibri" w:eastAsia="宋体" w:cs="Times New Roman"/>
                <w:kern w:val="2"/>
                <w:sz w:val="21"/>
                <w:szCs w:val="24"/>
                <w:lang w:val="en-US" w:eastAsia="zh-CN" w:bidi="ar-SA"/>
              </w:rPr>
            </w:pPr>
            <w:r>
              <w:rPr>
                <w:rFonts w:hint="eastAsia" w:ascii="宋体" w:hAnsi="宋体" w:cs="宋体"/>
                <w:b w:val="0"/>
                <w:bCs/>
                <w:kern w:val="2"/>
                <w:sz w:val="22"/>
                <w:szCs w:val="24"/>
                <w:lang w:val="en-US" w:eastAsia="zh-CN" w:bidi="zh-CN"/>
              </w:rPr>
              <w:t>保障措施</w:t>
            </w:r>
            <w:r>
              <w:rPr>
                <w:rFonts w:hint="eastAsia" w:ascii="Calibri" w:hAnsi="Calibri" w:eastAsia="宋体" w:cs="Times New Roman"/>
                <w:kern w:val="2"/>
                <w:sz w:val="21"/>
                <w:szCs w:val="24"/>
                <w:lang w:val="en-US" w:eastAsia="zh-CN" w:bidi="ar-SA"/>
              </w:rPr>
              <w:t>合理准确</w:t>
            </w:r>
            <w:r>
              <w:rPr>
                <w:rFonts w:hint="eastAsia" w:cs="Times New Roman"/>
                <w:kern w:val="2"/>
                <w:sz w:val="21"/>
                <w:szCs w:val="24"/>
                <w:lang w:val="en-US" w:eastAsia="zh-CN" w:bidi="ar-SA"/>
              </w:rPr>
              <w:t>，措施全面</w:t>
            </w:r>
            <w:r>
              <w:rPr>
                <w:rFonts w:hint="eastAsia" w:ascii="Calibri" w:hAnsi="Calibri" w:eastAsia="宋体" w:cs="Times New Roman"/>
                <w:kern w:val="2"/>
                <w:sz w:val="21"/>
                <w:szCs w:val="24"/>
                <w:lang w:val="en-US" w:eastAsia="zh-CN" w:bidi="ar-SA"/>
              </w:rPr>
              <w:t>得8-10分</w:t>
            </w:r>
          </w:p>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300" w:lineRule="exact"/>
              <w:ind w:left="0" w:leftChars="0" w:firstLine="0" w:firstLineChars="0"/>
              <w:textAlignment w:val="auto"/>
              <w:rPr>
                <w:rFonts w:hint="eastAsia" w:ascii="Calibri" w:hAnsi="Calibri" w:eastAsia="宋体" w:cs="Times New Roman"/>
                <w:kern w:val="2"/>
                <w:sz w:val="21"/>
                <w:szCs w:val="24"/>
                <w:lang w:val="en-US" w:eastAsia="zh-CN" w:bidi="ar-SA"/>
              </w:rPr>
            </w:pPr>
            <w:r>
              <w:rPr>
                <w:rFonts w:hint="eastAsia" w:ascii="宋体" w:hAnsi="宋体" w:cs="宋体"/>
                <w:b w:val="0"/>
                <w:bCs/>
                <w:kern w:val="2"/>
                <w:sz w:val="22"/>
                <w:szCs w:val="24"/>
                <w:lang w:val="en-US" w:eastAsia="zh-CN" w:bidi="zh-CN"/>
              </w:rPr>
              <w:t>保障措施</w:t>
            </w:r>
            <w:r>
              <w:rPr>
                <w:rFonts w:hint="eastAsia" w:cs="Times New Roman"/>
                <w:kern w:val="2"/>
                <w:sz w:val="21"/>
                <w:szCs w:val="24"/>
                <w:lang w:val="en-US" w:eastAsia="zh-CN" w:bidi="ar-SA"/>
              </w:rPr>
              <w:t>较</w:t>
            </w:r>
            <w:r>
              <w:rPr>
                <w:rFonts w:hint="eastAsia" w:ascii="Calibri" w:hAnsi="Calibri" w:eastAsia="宋体" w:cs="Times New Roman"/>
                <w:kern w:val="2"/>
                <w:sz w:val="21"/>
                <w:szCs w:val="24"/>
                <w:lang w:val="en-US" w:eastAsia="zh-CN" w:bidi="ar-SA"/>
              </w:rPr>
              <w:t>合理准确，措施</w:t>
            </w:r>
            <w:r>
              <w:rPr>
                <w:rFonts w:hint="eastAsia" w:cs="Times New Roman"/>
                <w:kern w:val="2"/>
                <w:sz w:val="21"/>
                <w:szCs w:val="24"/>
                <w:lang w:val="en-US" w:eastAsia="zh-CN" w:bidi="ar-SA"/>
              </w:rPr>
              <w:t>不够</w:t>
            </w:r>
            <w:r>
              <w:rPr>
                <w:rFonts w:hint="eastAsia" w:ascii="Calibri" w:hAnsi="Calibri" w:eastAsia="宋体" w:cs="Times New Roman"/>
                <w:kern w:val="2"/>
                <w:sz w:val="21"/>
                <w:szCs w:val="24"/>
                <w:lang w:val="en-US" w:eastAsia="zh-CN" w:bidi="ar-SA"/>
              </w:rPr>
              <w:t>全面得</w:t>
            </w:r>
            <w:r>
              <w:rPr>
                <w:rFonts w:hint="eastAsia" w:cs="Times New Roman"/>
                <w:kern w:val="2"/>
                <w:sz w:val="21"/>
                <w:szCs w:val="24"/>
                <w:lang w:val="en-US" w:eastAsia="zh-CN" w:bidi="ar-SA"/>
              </w:rPr>
              <w:t>4</w:t>
            </w:r>
            <w:r>
              <w:rPr>
                <w:rFonts w:hint="eastAsia" w:ascii="Calibri" w:hAnsi="Calibri" w:eastAsia="宋体" w:cs="Times New Roman"/>
                <w:kern w:val="2"/>
                <w:sz w:val="21"/>
                <w:szCs w:val="24"/>
                <w:lang w:val="en-US" w:eastAsia="zh-CN" w:bidi="ar-SA"/>
              </w:rPr>
              <w:t>-</w:t>
            </w:r>
            <w:r>
              <w:rPr>
                <w:rFonts w:hint="eastAsia" w:cs="Times New Roman"/>
                <w:kern w:val="2"/>
                <w:sz w:val="21"/>
                <w:szCs w:val="24"/>
                <w:lang w:val="en-US" w:eastAsia="zh-CN" w:bidi="ar-SA"/>
              </w:rPr>
              <w:t>7</w:t>
            </w:r>
            <w:r>
              <w:rPr>
                <w:rFonts w:hint="eastAsia" w:ascii="Calibri" w:hAnsi="Calibri" w:eastAsia="宋体" w:cs="Times New Roman"/>
                <w:kern w:val="2"/>
                <w:sz w:val="21"/>
                <w:szCs w:val="24"/>
                <w:lang w:val="en-US" w:eastAsia="zh-CN" w:bidi="ar-SA"/>
              </w:rPr>
              <w:t>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kern w:val="2"/>
                <w:sz w:val="22"/>
                <w:szCs w:val="24"/>
                <w:lang w:val="en-US" w:eastAsia="zh-CN" w:bidi="zh-CN"/>
              </w:rPr>
            </w:pPr>
            <w:r>
              <w:rPr>
                <w:rFonts w:hint="eastAsia" w:ascii="宋体" w:hAnsi="宋体" w:cs="宋体"/>
                <w:b w:val="0"/>
                <w:bCs/>
                <w:kern w:val="2"/>
                <w:sz w:val="22"/>
                <w:szCs w:val="24"/>
                <w:lang w:val="en-US" w:eastAsia="zh-CN" w:bidi="zh-CN"/>
              </w:rPr>
              <w:t>保障措施不</w:t>
            </w:r>
            <w:r>
              <w:rPr>
                <w:rFonts w:hint="eastAsia" w:ascii="Calibri" w:hAnsi="Calibri" w:eastAsia="宋体" w:cs="Times New Roman"/>
                <w:kern w:val="2"/>
                <w:sz w:val="21"/>
                <w:szCs w:val="24"/>
                <w:lang w:val="en-US" w:eastAsia="zh-CN" w:bidi="ar-SA"/>
              </w:rPr>
              <w:t>合理准确，措施</w:t>
            </w:r>
            <w:r>
              <w:rPr>
                <w:rFonts w:hint="eastAsia" w:cs="Times New Roman"/>
                <w:kern w:val="2"/>
                <w:sz w:val="21"/>
                <w:szCs w:val="24"/>
                <w:lang w:val="en-US" w:eastAsia="zh-CN" w:bidi="ar-SA"/>
              </w:rPr>
              <w:t>不</w:t>
            </w:r>
            <w:r>
              <w:rPr>
                <w:rFonts w:hint="eastAsia" w:ascii="Calibri" w:hAnsi="Calibri" w:eastAsia="宋体" w:cs="Times New Roman"/>
                <w:kern w:val="2"/>
                <w:sz w:val="21"/>
                <w:szCs w:val="24"/>
                <w:lang w:val="en-US" w:eastAsia="zh-CN" w:bidi="ar-SA"/>
              </w:rPr>
              <w:t>全面</w:t>
            </w:r>
            <w:r>
              <w:rPr>
                <w:rFonts w:hint="eastAsia" w:cs="Times New Roman"/>
                <w:kern w:val="2"/>
                <w:sz w:val="21"/>
                <w:szCs w:val="24"/>
                <w:lang w:val="en-US" w:eastAsia="zh-CN" w:bidi="ar-SA"/>
              </w:rPr>
              <w:t>得</w:t>
            </w:r>
            <w:r>
              <w:rPr>
                <w:rFonts w:hint="eastAsia" w:ascii="Calibri" w:hAnsi="Calibri" w:eastAsia="宋体" w:cs="Times New Roman"/>
                <w:kern w:val="2"/>
                <w:sz w:val="21"/>
                <w:szCs w:val="24"/>
                <w:lang w:val="en-US" w:eastAsia="zh-CN" w:bidi="ar-SA"/>
              </w:rPr>
              <w:t>1</w:t>
            </w:r>
            <w:r>
              <w:rPr>
                <w:rFonts w:hint="eastAsia" w:cs="Times New Roman"/>
                <w:kern w:val="2"/>
                <w:sz w:val="21"/>
                <w:szCs w:val="24"/>
                <w:lang w:val="en-US" w:eastAsia="zh-CN" w:bidi="ar-SA"/>
              </w:rPr>
              <w:t>-3</w:t>
            </w:r>
            <w:r>
              <w:rPr>
                <w:rFonts w:hint="eastAsia" w:ascii="Calibri" w:hAnsi="Calibri" w:eastAsia="宋体" w:cs="Times New Roman"/>
                <w:kern w:val="2"/>
                <w:sz w:val="21"/>
                <w:szCs w:val="24"/>
                <w:lang w:val="en-US" w:eastAsia="zh-CN" w:bidi="ar-SA"/>
              </w:rPr>
              <w:t>分</w:t>
            </w:r>
          </w:p>
        </w:tc>
      </w:tr>
    </w:tbl>
    <w:p>
      <w:pPr>
        <w:pStyle w:val="2"/>
        <w:ind w:left="0" w:leftChars="0" w:firstLine="480" w:firstLineChars="200"/>
        <w:rPr>
          <w:rFonts w:hint="default" w:ascii="仿宋" w:hAnsi="仿宋" w:eastAsia="仿宋" w:cs="仿宋"/>
          <w:sz w:val="24"/>
          <w:szCs w:val="32"/>
          <w:lang w:val="en-US" w:eastAsia="zh-CN"/>
        </w:rPr>
      </w:pPr>
    </w:p>
    <w:p>
      <w:pPr>
        <w:pStyle w:val="2"/>
        <w:numPr>
          <w:ilvl w:val="0"/>
          <w:numId w:val="0"/>
        </w:numPr>
        <w:ind w:leftChars="200"/>
        <w:rPr>
          <w:rFonts w:hint="default" w:ascii="仿宋" w:hAnsi="仿宋" w:eastAsia="仿宋" w:cs="仿宋"/>
          <w:sz w:val="24"/>
          <w:szCs w:val="32"/>
          <w:lang w:val="en-US" w:eastAsia="zh-CN"/>
        </w:rPr>
      </w:pPr>
    </w:p>
    <w:p>
      <w:pPr>
        <w:pStyle w:val="2"/>
        <w:numPr>
          <w:ilvl w:val="0"/>
          <w:numId w:val="0"/>
        </w:numPr>
        <w:ind w:leftChars="200"/>
        <w:rPr>
          <w:rFonts w:hint="eastAsia" w:ascii="仿宋" w:hAnsi="仿宋" w:eastAsia="仿宋" w:cs="仿宋"/>
          <w:sz w:val="24"/>
          <w:szCs w:val="32"/>
          <w:lang w:val="en-US" w:eastAsia="zh-CN"/>
        </w:rPr>
      </w:pPr>
    </w:p>
    <w:p>
      <w:pPr>
        <w:pStyle w:val="2"/>
        <w:numPr>
          <w:ilvl w:val="0"/>
          <w:numId w:val="0"/>
        </w:numPr>
        <w:ind w:leftChars="200"/>
        <w:rPr>
          <w:rFonts w:hint="eastAsia" w:ascii="仿宋" w:hAnsi="仿宋" w:eastAsia="仿宋" w:cs="仿宋"/>
          <w:sz w:val="24"/>
          <w:szCs w:val="32"/>
          <w:lang w:val="en-US" w:eastAsia="zh-CN"/>
        </w:rPr>
      </w:pPr>
    </w:p>
    <w:p>
      <w:pPr>
        <w:pStyle w:val="2"/>
        <w:numPr>
          <w:ilvl w:val="0"/>
          <w:numId w:val="0"/>
        </w:numPr>
        <w:ind w:leftChars="200"/>
        <w:rPr>
          <w:rFonts w:hint="eastAsia" w:ascii="仿宋" w:hAnsi="仿宋" w:eastAsia="仿宋" w:cs="仿宋"/>
          <w:sz w:val="24"/>
          <w:szCs w:val="32"/>
          <w:lang w:val="en-US" w:eastAsia="zh-CN"/>
        </w:rPr>
      </w:pPr>
    </w:p>
    <w:p>
      <w:pPr>
        <w:pStyle w:val="2"/>
        <w:numPr>
          <w:ilvl w:val="0"/>
          <w:numId w:val="0"/>
        </w:numPr>
        <w:ind w:leftChars="200"/>
        <w:rPr>
          <w:rFonts w:hint="eastAsia" w:ascii="仿宋" w:hAnsi="仿宋" w:eastAsia="仿宋" w:cs="仿宋"/>
          <w:sz w:val="24"/>
          <w:szCs w:val="32"/>
          <w:lang w:val="en-US" w:eastAsia="zh-CN"/>
        </w:rPr>
      </w:pPr>
    </w:p>
    <w:p>
      <w:pPr>
        <w:pStyle w:val="2"/>
        <w:numPr>
          <w:ilvl w:val="0"/>
          <w:numId w:val="0"/>
        </w:numPr>
        <w:ind w:leftChars="200"/>
        <w:rPr>
          <w:rFonts w:hint="eastAsia" w:ascii="仿宋" w:hAnsi="仿宋" w:eastAsia="仿宋" w:cs="仿宋"/>
          <w:sz w:val="24"/>
          <w:szCs w:val="32"/>
          <w:lang w:val="en-US" w:eastAsia="zh-CN"/>
        </w:rPr>
      </w:pPr>
    </w:p>
    <w:p>
      <w:pPr>
        <w:pStyle w:val="2"/>
        <w:numPr>
          <w:ilvl w:val="0"/>
          <w:numId w:val="0"/>
        </w:numPr>
        <w:ind w:leftChars="200"/>
        <w:rPr>
          <w:rFonts w:hint="eastAsia" w:ascii="仿宋" w:hAnsi="仿宋" w:eastAsia="仿宋" w:cs="仿宋"/>
          <w:sz w:val="24"/>
          <w:szCs w:val="32"/>
          <w:lang w:val="en-US" w:eastAsia="zh-CN"/>
        </w:rPr>
      </w:pPr>
    </w:p>
    <w:p>
      <w:pPr>
        <w:pStyle w:val="2"/>
        <w:numPr>
          <w:ilvl w:val="0"/>
          <w:numId w:val="0"/>
        </w:numPr>
        <w:ind w:leftChars="200"/>
        <w:rPr>
          <w:rFonts w:hint="eastAsia" w:ascii="仿宋" w:hAnsi="仿宋" w:eastAsia="仿宋" w:cs="仿宋"/>
          <w:sz w:val="24"/>
          <w:szCs w:val="32"/>
          <w:lang w:val="en-US" w:eastAsia="zh-CN"/>
        </w:rPr>
      </w:pPr>
    </w:p>
    <w:p>
      <w:pPr>
        <w:tabs>
          <w:tab w:val="left" w:pos="5113"/>
        </w:tabs>
        <w:bidi w:val="0"/>
        <w:jc w:val="left"/>
        <w:rPr>
          <w:rFonts w:hint="eastAsia"/>
          <w:lang w:val="en-US" w:eastAsia="zh-CN"/>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C1B10"/>
    <w:multiLevelType w:val="singleLevel"/>
    <w:tmpl w:val="820C1B10"/>
    <w:lvl w:ilvl="0" w:tentative="0">
      <w:start w:val="1"/>
      <w:numFmt w:val="chineseCounting"/>
      <w:suff w:val="nothing"/>
      <w:lvlText w:val="（%1）"/>
      <w:lvlJc w:val="left"/>
      <w:rPr>
        <w:rFonts w:hint="eastAsia" w:ascii="仿宋" w:hAnsi="仿宋" w:eastAsia="仿宋" w:cs="仿宋"/>
        <w:sz w:val="24"/>
        <w:szCs w:val="24"/>
      </w:rPr>
    </w:lvl>
  </w:abstractNum>
  <w:abstractNum w:abstractNumId="1">
    <w:nsid w:val="19B6F290"/>
    <w:multiLevelType w:val="singleLevel"/>
    <w:tmpl w:val="19B6F290"/>
    <w:lvl w:ilvl="0" w:tentative="0">
      <w:start w:val="1"/>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7AAF2D79"/>
    <w:rsid w:val="017151B6"/>
    <w:rsid w:val="06670C42"/>
    <w:rsid w:val="073E237B"/>
    <w:rsid w:val="098B0653"/>
    <w:rsid w:val="0D6353A2"/>
    <w:rsid w:val="0DC363ED"/>
    <w:rsid w:val="101C450C"/>
    <w:rsid w:val="118232F4"/>
    <w:rsid w:val="14385C7A"/>
    <w:rsid w:val="1475255D"/>
    <w:rsid w:val="15516881"/>
    <w:rsid w:val="16335C26"/>
    <w:rsid w:val="19457B5B"/>
    <w:rsid w:val="1A6C7833"/>
    <w:rsid w:val="1B951185"/>
    <w:rsid w:val="1CCE076C"/>
    <w:rsid w:val="21243ED3"/>
    <w:rsid w:val="26B67141"/>
    <w:rsid w:val="2911509E"/>
    <w:rsid w:val="2D3C2017"/>
    <w:rsid w:val="2DB32E3C"/>
    <w:rsid w:val="2E641555"/>
    <w:rsid w:val="36FA000E"/>
    <w:rsid w:val="38A83A80"/>
    <w:rsid w:val="3AC945DB"/>
    <w:rsid w:val="3CE1135C"/>
    <w:rsid w:val="3D746843"/>
    <w:rsid w:val="405B41FF"/>
    <w:rsid w:val="44B539F9"/>
    <w:rsid w:val="4C590A63"/>
    <w:rsid w:val="4E2B176A"/>
    <w:rsid w:val="4F5E5174"/>
    <w:rsid w:val="4F615118"/>
    <w:rsid w:val="507D70FE"/>
    <w:rsid w:val="51C668F3"/>
    <w:rsid w:val="52095C02"/>
    <w:rsid w:val="56A34BDA"/>
    <w:rsid w:val="5D7100EB"/>
    <w:rsid w:val="5E731F38"/>
    <w:rsid w:val="5F993B0F"/>
    <w:rsid w:val="62FF4D6E"/>
    <w:rsid w:val="63AF5B3D"/>
    <w:rsid w:val="651E2259"/>
    <w:rsid w:val="65A40FE9"/>
    <w:rsid w:val="6FBD260D"/>
    <w:rsid w:val="75223045"/>
    <w:rsid w:val="7AAF2D79"/>
    <w:rsid w:val="7B242292"/>
    <w:rsid w:val="7DAF26CD"/>
    <w:rsid w:val="7DBB1A64"/>
    <w:rsid w:val="7F3D6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toa heading"/>
    <w:basedOn w:val="1"/>
    <w:next w:val="1"/>
    <w:qFormat/>
    <w:uiPriority w:val="0"/>
    <w:rPr>
      <w:rFonts w:ascii="Arial" w:hAnsi="Arial" w:cs="Arial"/>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1877</Words>
  <Characters>2083</Characters>
  <Lines>0</Lines>
  <Paragraphs>0</Paragraphs>
  <TotalTime>6</TotalTime>
  <ScaleCrop>false</ScaleCrop>
  <LinksUpToDate>false</LinksUpToDate>
  <CharactersWithSpaces>2116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2022-01-04T02:46:00Z</dcterms:created>
  <dc:creator>山东国际会展集团</dc:creator>
  <cp:lastModifiedBy>Administrator</cp:lastModifiedBy>
  <cp:lastPrinted>2023-04-11T08:59:00Z</cp:lastPrinted>
  <dcterms:modified xsi:type="dcterms:W3CDTF">2023-04-13T03:44:08Z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B535BFD3AD2447C4959C0B8466A6C85E</vt:lpwstr>
  </property>
</Properties>
</file>