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西馆西广场防腐木维修项目招募公告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2023年11月14日17时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山东国际会展集团有限公司根据实际情况和经营管理需要，对西馆西广场防腐木维修项目服务商进行询价，现诚邀资质合格的单位参加报价，请按项目列表所列明细给出相应报价。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0"/>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lang w:val="en-US" w:eastAsia="zh-CN" w:bidi="ar"/>
        </w:rPr>
        <w:t>一、</w:t>
      </w: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1"/>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西广场景观带防腐木维修，具体为将所有区域的防腐木进行加固、刷防腐油，将塌陷、折断区域进行龙骨重装及更换新的防腐木。三年内免费维护保养，每年一次对园区的防腐木进行修整刷防腐油。龙骨规格为40mm*80mm，防腐木规格为40mm*100mm。</w:t>
      </w:r>
    </w:p>
    <w:p>
      <w:pPr>
        <w:keepNext w:val="0"/>
        <w:keepLines w:val="0"/>
        <w:widowControl/>
        <w:numPr>
          <w:ilvl w:val="0"/>
          <w:numId w:val="1"/>
        </w:numPr>
        <w:suppressLineNumbers w:val="0"/>
        <w:spacing w:line="360" w:lineRule="auto"/>
        <w:ind w:firstLine="480" w:firstLineChars="200"/>
        <w:jc w:val="left"/>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采购方式：综合评分</w:t>
      </w:r>
    </w:p>
    <w:p>
      <w:pPr>
        <w:keepNext w:val="0"/>
        <w:keepLines w:val="0"/>
        <w:widowControl/>
        <w:numPr>
          <w:ilvl w:val="0"/>
          <w:numId w:val="0"/>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lang w:val="en-US" w:eastAsia="zh-CN" w:bidi="ar"/>
        </w:rPr>
        <w:t>二、</w:t>
      </w: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（包含个体户）必须是在中华人民共和国境内注册；须具有相关资质；</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1、按项目询价单准确填报，报价为含税价，须含运输、安装等费用。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注明维修费用、维护保养费用、主材品牌、报价时间、项目负责人及其联系方式并盖公章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11</w:t>
      </w:r>
      <w:r>
        <w:rPr>
          <w:rFonts w:hint="eastAsia" w:ascii="仿宋" w:hAnsi="仿宋" w:eastAsia="仿宋" w:cs="仿宋"/>
          <w:b/>
          <w:bCs/>
          <w:i w:val="0"/>
          <w:color w:val="auto"/>
          <w:kern w:val="0"/>
          <w:sz w:val="24"/>
          <w:szCs w:val="24"/>
          <w:u w:val="none"/>
          <w:lang w:val="en-US" w:eastAsia="zh-CN" w:bidi="ar"/>
        </w:rPr>
        <w:t>月17日17</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（注：1、快件外部请写明项目名称，例：西馆防腐木维修项目。2、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w:t>
      </w:r>
      <w:r>
        <w:rPr>
          <w:rFonts w:hint="eastAsia" w:ascii="仿宋" w:hAnsi="仿宋" w:eastAsia="仿宋" w:cs="仿宋"/>
          <w:color w:val="auto"/>
          <w:sz w:val="24"/>
          <w:szCs w:val="32"/>
          <w:lang w:val="en-US" w:eastAsia="zh-CN"/>
        </w:rPr>
        <w:t>现场勘察联系人：徐部长 13173050171；</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四、维修清单</w:t>
      </w:r>
    </w:p>
    <w:tbl>
      <w:tblPr>
        <w:tblStyle w:val="8"/>
        <w:tblW w:w="8846"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565"/>
        <w:gridCol w:w="2111"/>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规格（mm)</w:t>
            </w: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工艺</w:t>
            </w:r>
          </w:p>
        </w:tc>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数量m</w:t>
            </w:r>
            <w:r>
              <w:rPr>
                <w:rFonts w:hint="eastAsia" w:ascii="仿宋_GB2312" w:hAnsi="仿宋_GB2312" w:eastAsia="仿宋_GB2312" w:cs="仿宋_GB2312"/>
                <w:sz w:val="24"/>
                <w:szCs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龙骨</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40*80</w:t>
            </w: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换新</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龙骨(维修）</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加固</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防腐木</w:t>
            </w:r>
          </w:p>
        </w:tc>
        <w:tc>
          <w:tcPr>
            <w:tcW w:w="2565" w:type="dxa"/>
            <w:tcBorders>
              <w:bottom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40*100厚板</w:t>
            </w:r>
          </w:p>
        </w:tc>
        <w:tc>
          <w:tcPr>
            <w:tcW w:w="2111" w:type="dxa"/>
            <w:tcBorders>
              <w:bottom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换新</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面板</w:t>
            </w:r>
          </w:p>
        </w:tc>
        <w:tc>
          <w:tcPr>
            <w:tcW w:w="2565" w:type="dxa"/>
            <w:tcBorders>
              <w:bottom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111" w:type="dxa"/>
            <w:tcBorders>
              <w:bottom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加固</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面板</w:t>
            </w:r>
          </w:p>
        </w:tc>
        <w:tc>
          <w:tcPr>
            <w:tcW w:w="2565" w:type="dxa"/>
            <w:tcBorders>
              <w:top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111" w:type="dxa"/>
            <w:tcBorders>
              <w:top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打磨翻新</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木蜡油</w:t>
            </w:r>
          </w:p>
        </w:tc>
        <w:tc>
          <w:tcPr>
            <w:tcW w:w="2565" w:type="dxa"/>
            <w:tcBorders>
              <w:top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高硬质水性耐候</w:t>
            </w:r>
          </w:p>
        </w:tc>
        <w:tc>
          <w:tcPr>
            <w:tcW w:w="2111" w:type="dxa"/>
            <w:tcBorders>
              <w:top w:val="single" w:color="auto" w:sz="4" w:space="0"/>
            </w:tcBorders>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涂刷</w:t>
            </w: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辅材</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镀锌自攻丝/结构胶</w:t>
            </w: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085" w:type="dxa"/>
            <w:noWrap w:val="0"/>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sz w:val="24"/>
                <w:szCs w:val="32"/>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垃圾清运</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numPr>
                <w:ilvl w:val="0"/>
                <w:numId w:val="0"/>
              </w:numPr>
              <w:spacing w:line="360" w:lineRule="auto"/>
              <w:jc w:val="center"/>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税率</w:t>
            </w:r>
          </w:p>
        </w:tc>
        <w:tc>
          <w:tcPr>
            <w:tcW w:w="256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111"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c>
          <w:tcPr>
            <w:tcW w:w="2085" w:type="dxa"/>
            <w:noWrap w:val="0"/>
            <w:vAlign w:val="top"/>
          </w:tcPr>
          <w:p>
            <w:pPr>
              <w:numPr>
                <w:ilvl w:val="0"/>
                <w:numId w:val="0"/>
              </w:numPr>
              <w:spacing w:line="360" w:lineRule="auto"/>
              <w:jc w:val="center"/>
              <w:rPr>
                <w:rFonts w:hint="eastAsia" w:ascii="仿宋_GB2312" w:hAnsi="仿宋_GB2312" w:eastAsia="仿宋_GB2312" w:cs="仿宋_GB2312"/>
                <w:sz w:val="24"/>
                <w:szCs w:val="24"/>
                <w:vertAlign w:val="baseline"/>
                <w:lang w:val="en-US" w:eastAsia="zh-CN"/>
              </w:rPr>
            </w:pPr>
          </w:p>
        </w:tc>
      </w:tr>
    </w:tbl>
    <w:p>
      <w:pPr>
        <w:pStyle w:val="6"/>
        <w:numPr>
          <w:ilvl w:val="0"/>
          <w:numId w:val="0"/>
        </w:numPr>
        <w:ind w:leftChars="200"/>
        <w:rPr>
          <w:rFonts w:hint="default" w:ascii="仿宋" w:hAnsi="仿宋" w:eastAsia="仿宋" w:cs="仿宋"/>
          <w:sz w:val="24"/>
          <w:szCs w:val="32"/>
          <w:lang w:val="en-US" w:eastAsia="zh-CN"/>
        </w:rPr>
      </w:pPr>
    </w:p>
    <w:p>
      <w:pPr>
        <w:keepNext w:val="0"/>
        <w:keepLines w:val="0"/>
        <w:widowControl/>
        <w:numPr>
          <w:ilvl w:val="0"/>
          <w:numId w:val="0"/>
        </w:numPr>
        <w:suppressLineNumbers w:val="0"/>
        <w:spacing w:line="360" w:lineRule="auto"/>
        <w:ind w:leftChars="200"/>
        <w:jc w:val="left"/>
        <w:textAlignment w:val="center"/>
        <w:rPr>
          <w:rFonts w:ascii="Arial"/>
          <w:sz w:val="21"/>
        </w:rPr>
      </w:pPr>
      <w:r>
        <w:rPr>
          <w:rFonts w:hint="eastAsia" w:ascii="楷体" w:hAnsi="楷体" w:eastAsia="楷体" w:cs="楷体"/>
          <w:b/>
          <w:bCs/>
          <w:i w:val="0"/>
          <w:color w:val="000000"/>
          <w:kern w:val="0"/>
          <w:sz w:val="28"/>
          <w:szCs w:val="28"/>
          <w:u w:val="none"/>
          <w:lang w:val="en-US" w:eastAsia="zh-CN" w:bidi="ar"/>
        </w:rPr>
        <w:t>五、评分标准</w:t>
      </w:r>
    </w:p>
    <w:tbl>
      <w:tblPr>
        <w:tblStyle w:val="7"/>
        <w:tblpPr w:leftFromText="180" w:rightFromText="180" w:vertAnchor="text" w:horzAnchor="page" w:tblpX="1050" w:tblpY="659"/>
        <w:tblOverlap w:val="never"/>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79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满分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100分</w:t>
            </w:r>
          </w:p>
        </w:tc>
        <w:tc>
          <w:tcPr>
            <w:tcW w:w="64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0分</w:t>
            </w:r>
            <w:r>
              <w:rPr>
                <w:rFonts w:hint="eastAsia" w:ascii="仿宋" w:hAnsi="仿宋" w:eastAsia="仿宋" w:cs="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noWrap w:val="0"/>
            <w:vAlign w:val="center"/>
          </w:tcPr>
          <w:p>
            <w:pPr>
              <w:pStyle w:val="13"/>
              <w:jc w:val="center"/>
              <w:rPr>
                <w:rFonts w:hint="eastAsia" w:ascii="仿宋" w:hAnsi="仿宋" w:eastAsia="仿宋" w:cs="仿宋"/>
                <w:position w:val="-3"/>
                <w:sz w:val="21"/>
                <w:szCs w:val="21"/>
                <w:highlight w:val="none"/>
                <w:lang w:val="en-US" w:eastAsia="zh-CN"/>
              </w:rPr>
            </w:pPr>
            <w:r>
              <w:rPr>
                <w:rFonts w:hint="eastAsia" w:ascii="仿宋" w:hAnsi="仿宋" w:eastAsia="仿宋" w:cs="仿宋"/>
                <w:b w:val="0"/>
                <w:bCs/>
                <w:sz w:val="21"/>
                <w:szCs w:val="21"/>
              </w:rPr>
              <w:t>1</w:t>
            </w:r>
          </w:p>
        </w:tc>
        <w:tc>
          <w:tcPr>
            <w:tcW w:w="1757" w:type="dxa"/>
            <w:noWrap w:val="0"/>
            <w:vAlign w:val="center"/>
          </w:tcPr>
          <w:p>
            <w:pPr>
              <w:pStyle w:val="13"/>
              <w:jc w:val="center"/>
              <w:rPr>
                <w:rFonts w:hint="eastAsia" w:ascii="仿宋" w:hAnsi="仿宋" w:eastAsia="仿宋" w:cs="仿宋"/>
                <w:sz w:val="21"/>
                <w:szCs w:val="21"/>
                <w:highlight w:val="none"/>
              </w:rPr>
            </w:pPr>
            <w:r>
              <w:rPr>
                <w:rFonts w:hint="eastAsia" w:ascii="仿宋" w:hAnsi="仿宋" w:eastAsia="仿宋" w:cs="仿宋"/>
                <w:b w:val="0"/>
                <w:bCs/>
                <w:sz w:val="21"/>
                <w:szCs w:val="21"/>
              </w:rPr>
              <w:t>价格部分</w:t>
            </w:r>
          </w:p>
        </w:tc>
        <w:tc>
          <w:tcPr>
            <w:tcW w:w="794" w:type="dxa"/>
            <w:noWrap w:val="0"/>
            <w:vAlign w:val="center"/>
          </w:tcPr>
          <w:p>
            <w:pPr>
              <w:pStyle w:val="13"/>
              <w:jc w:val="center"/>
              <w:rPr>
                <w:rFonts w:hint="eastAsia" w:ascii="仿宋" w:hAnsi="仿宋" w:eastAsia="仿宋" w:cs="仿宋"/>
                <w:sz w:val="21"/>
                <w:szCs w:val="21"/>
                <w:highlight w:val="none"/>
              </w:rPr>
            </w:pPr>
            <w:r>
              <w:rPr>
                <w:rFonts w:hint="eastAsia" w:ascii="仿宋" w:hAnsi="仿宋" w:eastAsia="仿宋" w:cs="仿宋"/>
                <w:b w:val="0"/>
                <w:bCs/>
                <w:sz w:val="21"/>
                <w:szCs w:val="21"/>
                <w:lang w:val="en-US" w:eastAsia="zh-CN"/>
              </w:rPr>
              <w:t>40</w:t>
            </w:r>
            <w:r>
              <w:rPr>
                <w:rFonts w:hint="eastAsia" w:ascii="仿宋" w:hAnsi="仿宋" w:eastAsia="仿宋" w:cs="仿宋"/>
                <w:b w:val="0"/>
                <w:bCs/>
                <w:sz w:val="21"/>
                <w:szCs w:val="21"/>
              </w:rPr>
              <w:t xml:space="preserve"> 分</w:t>
            </w:r>
          </w:p>
        </w:tc>
        <w:tc>
          <w:tcPr>
            <w:tcW w:w="6485" w:type="dxa"/>
            <w:noWrap w:val="0"/>
            <w:vAlign w:val="center"/>
          </w:tcPr>
          <w:p>
            <w:pPr>
              <w:pStyle w:val="13"/>
              <w:jc w:val="left"/>
              <w:rPr>
                <w:rFonts w:hint="eastAsia" w:ascii="仿宋" w:hAnsi="仿宋" w:eastAsia="仿宋" w:cs="仿宋"/>
                <w:sz w:val="21"/>
                <w:szCs w:val="21"/>
                <w:highlight w:val="none"/>
              </w:rPr>
            </w:pPr>
            <w:r>
              <w:rPr>
                <w:rFonts w:hint="eastAsia" w:ascii="仿宋" w:hAnsi="仿宋" w:eastAsia="仿宋" w:cs="仿宋"/>
                <w:b w:val="0"/>
                <w:bCs/>
                <w:sz w:val="21"/>
                <w:szCs w:val="21"/>
              </w:rPr>
              <w:t>价格分计算方法：满足要求且</w:t>
            </w:r>
            <w:r>
              <w:rPr>
                <w:rFonts w:hint="eastAsia" w:ascii="仿宋" w:hAnsi="仿宋" w:eastAsia="仿宋" w:cs="仿宋"/>
                <w:b w:val="0"/>
                <w:bCs/>
                <w:sz w:val="21"/>
                <w:szCs w:val="21"/>
                <w:lang w:val="en-US" w:eastAsia="zh-CN"/>
              </w:rPr>
              <w:t>报价</w:t>
            </w:r>
            <w:r>
              <w:rPr>
                <w:rFonts w:hint="eastAsia" w:ascii="仿宋" w:hAnsi="仿宋" w:eastAsia="仿宋" w:cs="仿宋"/>
                <w:b w:val="0"/>
                <w:bCs/>
                <w:sz w:val="21"/>
                <w:szCs w:val="21"/>
              </w:rPr>
              <w:t>最低的为评标基准价，其价格分为</w:t>
            </w:r>
            <w:r>
              <w:rPr>
                <w:rFonts w:hint="eastAsia" w:ascii="仿宋" w:hAnsi="仿宋" w:eastAsia="仿宋" w:cs="仿宋"/>
                <w:b w:val="0"/>
                <w:bCs/>
                <w:sz w:val="21"/>
                <w:szCs w:val="21"/>
                <w:lang w:val="en-US" w:eastAsia="zh-CN"/>
              </w:rPr>
              <w:t>40</w:t>
            </w:r>
            <w:r>
              <w:rPr>
                <w:rFonts w:hint="eastAsia" w:ascii="仿宋" w:hAnsi="仿宋" w:eastAsia="仿宋" w:cs="仿宋"/>
                <w:b w:val="0"/>
                <w:bCs/>
                <w:sz w:val="21"/>
                <w:szCs w:val="21"/>
              </w:rPr>
              <w:t>分。其他投标人的价格分统一按照下列公式计算：投标报价得分=(评标基准价／投标报价)×价格权重（</w:t>
            </w:r>
            <w:r>
              <w:rPr>
                <w:rFonts w:hint="eastAsia" w:ascii="仿宋" w:hAnsi="仿宋" w:eastAsia="仿宋" w:cs="仿宋"/>
                <w:b w:val="0"/>
                <w:bCs/>
                <w:sz w:val="21"/>
                <w:szCs w:val="21"/>
                <w:lang w:val="en-US" w:eastAsia="zh-CN"/>
              </w:rPr>
              <w:t>4</w:t>
            </w:r>
            <w:r>
              <w:rPr>
                <w:rFonts w:hint="eastAsia" w:ascii="仿宋" w:hAnsi="仿宋" w:eastAsia="仿宋" w:cs="仿宋"/>
                <w:b w:val="0"/>
                <w:bCs/>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pPr>
              <w:pStyle w:val="13"/>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val="en-US" w:eastAsia="zh-CN"/>
              </w:rPr>
              <w:t>2</w:t>
            </w:r>
          </w:p>
        </w:tc>
        <w:tc>
          <w:tcPr>
            <w:tcW w:w="1757" w:type="dxa"/>
            <w:noWrap w:val="0"/>
            <w:vAlign w:val="center"/>
          </w:tcPr>
          <w:p>
            <w:pPr>
              <w:pStyle w:val="13"/>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企业认证</w:t>
            </w:r>
          </w:p>
        </w:tc>
        <w:tc>
          <w:tcPr>
            <w:tcW w:w="794" w:type="dxa"/>
            <w:noWrap w:val="0"/>
            <w:vAlign w:val="center"/>
          </w:tcPr>
          <w:p>
            <w:pPr>
              <w:pStyle w:val="13"/>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 xml:space="preserve"> 分</w:t>
            </w:r>
          </w:p>
        </w:tc>
        <w:tc>
          <w:tcPr>
            <w:tcW w:w="6485" w:type="dxa"/>
            <w:noWrap w:val="0"/>
            <w:vAlign w:val="center"/>
          </w:tcPr>
          <w:p>
            <w:pPr>
              <w:pStyle w:val="13"/>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rPr>
              <w:t>具有</w:t>
            </w:r>
            <w:r>
              <w:rPr>
                <w:rFonts w:hint="eastAsia" w:ascii="仿宋" w:hAnsi="仿宋" w:eastAsia="仿宋" w:cs="仿宋"/>
                <w:b w:val="0"/>
                <w:bCs/>
                <w:sz w:val="21"/>
                <w:szCs w:val="21"/>
                <w:lang w:val="en-US" w:eastAsia="zh-CN"/>
              </w:rPr>
              <w:t>相关维修资质，并提供营业执照复印件，得10分。</w:t>
            </w:r>
          </w:p>
          <w:p>
            <w:pPr>
              <w:pStyle w:val="13"/>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lang w:val="en-US" w:eastAsia="zh-CN"/>
              </w:rPr>
              <w:t>3</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rPr>
              <w:t>施工</w:t>
            </w:r>
            <w:r>
              <w:rPr>
                <w:rFonts w:hint="eastAsia" w:ascii="仿宋" w:hAnsi="仿宋" w:eastAsia="仿宋" w:cs="仿宋"/>
                <w:sz w:val="21"/>
                <w:szCs w:val="21"/>
                <w:highlight w:val="none"/>
                <w:lang w:val="en-US" w:eastAsia="zh-CN"/>
              </w:rPr>
              <w:t>组织设计</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w:t>
            </w:r>
          </w:p>
        </w:tc>
        <w:tc>
          <w:tcPr>
            <w:tcW w:w="6485"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施工方案。</w:t>
            </w:r>
            <w:r>
              <w:rPr>
                <w:rFonts w:hint="eastAsia" w:ascii="仿宋" w:hAnsi="仿宋" w:eastAsia="仿宋" w:cs="仿宋"/>
                <w:sz w:val="21"/>
                <w:szCs w:val="21"/>
                <w:highlight w:val="none"/>
              </w:rPr>
              <w:t>对工程整体有深刻认识、表述完整、措施先进，施工段划分清晰、合理，符合规范要求。满分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2、施工总进度计划及保证措施。</w:t>
            </w:r>
            <w:r>
              <w:rPr>
                <w:rFonts w:hint="eastAsia" w:ascii="仿宋" w:hAnsi="仿宋" w:eastAsia="仿宋" w:cs="仿宋"/>
                <w:sz w:val="21"/>
                <w:szCs w:val="21"/>
                <w:highlight w:val="none"/>
              </w:rPr>
              <w:t>投入计划与进度计划相呼应，满足工程施工需要，投入计划合理准确，劳动力、材料、机械设备投入的保证措施完善合理。满分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sz w:val="21"/>
                <w:szCs w:val="21"/>
                <w:highlight w:val="none"/>
              </w:rPr>
              <w:t>3、主要材料、设备。</w:t>
            </w:r>
            <w:r>
              <w:rPr>
                <w:rFonts w:hint="eastAsia" w:ascii="仿宋" w:hAnsi="仿宋" w:eastAsia="仿宋" w:cs="仿宋"/>
                <w:sz w:val="21"/>
                <w:szCs w:val="21"/>
                <w:highlight w:val="none"/>
              </w:rPr>
              <w:t>根据选用的材料，从品牌、性能参数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质量档次、检测报告，本项满分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sz w:val="21"/>
                <w:szCs w:val="21"/>
                <w:highlight w:val="none"/>
              </w:rPr>
              <w:t>4、安全文明施工措施计划。</w:t>
            </w:r>
            <w:r>
              <w:rPr>
                <w:rFonts w:hint="eastAsia" w:ascii="仿宋" w:hAnsi="仿宋" w:eastAsia="仿宋" w:cs="仿宋"/>
                <w:sz w:val="21"/>
                <w:szCs w:val="21"/>
                <w:highlight w:val="none"/>
              </w:rPr>
              <w:t>文明施工保护机构健全，措施合理、可行，针对项目实际情况，有先进、可行、具体措施。</w:t>
            </w:r>
            <w:r>
              <w:rPr>
                <w:rFonts w:hint="eastAsia" w:ascii="仿宋" w:hAnsi="仿宋" w:eastAsia="仿宋" w:cs="仿宋"/>
                <w:color w:val="000000"/>
                <w:kern w:val="0"/>
                <w:sz w:val="21"/>
                <w:szCs w:val="21"/>
                <w:highlight w:val="none"/>
              </w:rPr>
              <w:t>满分</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0-5分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sz w:val="21"/>
                <w:szCs w:val="21"/>
                <w:highlight w:val="none"/>
              </w:rPr>
              <w:t>5、质量保证措施计划。</w:t>
            </w:r>
            <w:r>
              <w:rPr>
                <w:rFonts w:hint="eastAsia" w:ascii="仿宋" w:hAnsi="仿宋" w:eastAsia="仿宋" w:cs="仿宋"/>
                <w:color w:val="000000"/>
                <w:kern w:val="0"/>
                <w:sz w:val="21"/>
                <w:szCs w:val="21"/>
                <w:highlight w:val="none"/>
              </w:rPr>
              <w:t>针对项目实际情况有先进、可行、具体保证措施。满分</w:t>
            </w:r>
            <w:r>
              <w:rPr>
                <w:rFonts w:hint="eastAsia" w:ascii="仿宋" w:hAnsi="仿宋" w:eastAsia="仿宋" w:cs="仿宋"/>
                <w:color w:val="000000"/>
                <w:kern w:val="0"/>
                <w:sz w:val="21"/>
                <w:szCs w:val="21"/>
                <w:highlight w:val="none"/>
                <w:lang w:val="en-US" w:eastAsia="zh-CN"/>
              </w:rPr>
              <w:t>8</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0-8分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color w:val="000000"/>
                <w:kern w:val="0"/>
                <w:sz w:val="21"/>
                <w:szCs w:val="21"/>
                <w:highlight w:val="none"/>
              </w:rPr>
              <w:t>6、</w:t>
            </w:r>
            <w:r>
              <w:rPr>
                <w:rFonts w:hint="eastAsia" w:ascii="仿宋" w:hAnsi="仿宋" w:eastAsia="仿宋" w:cs="仿宋"/>
                <w:b/>
                <w:bCs w:val="0"/>
                <w:sz w:val="21"/>
                <w:szCs w:val="21"/>
                <w:highlight w:val="none"/>
              </w:rPr>
              <w:t>工期保证措施计划。</w:t>
            </w:r>
            <w:r>
              <w:rPr>
                <w:rFonts w:hint="eastAsia" w:ascii="仿宋" w:hAnsi="仿宋" w:eastAsia="仿宋" w:cs="仿宋"/>
                <w:sz w:val="21"/>
                <w:szCs w:val="21"/>
                <w:highlight w:val="none"/>
              </w:rPr>
              <w:t>针对项目实际情况，有合理、先进、可行、具体措施</w:t>
            </w:r>
            <w:r>
              <w:rPr>
                <w:rFonts w:hint="eastAsia" w:ascii="仿宋" w:hAnsi="仿宋" w:eastAsia="仿宋" w:cs="仿宋"/>
                <w:color w:val="000000"/>
                <w:kern w:val="0"/>
                <w:sz w:val="21"/>
                <w:szCs w:val="21"/>
                <w:highlight w:val="none"/>
              </w:rPr>
              <w:t>。满分</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0-4分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color w:val="000000"/>
                <w:kern w:val="0"/>
                <w:sz w:val="21"/>
                <w:szCs w:val="21"/>
                <w:highlight w:val="none"/>
              </w:rPr>
              <w:t>7、</w:t>
            </w:r>
            <w:r>
              <w:rPr>
                <w:rFonts w:hint="eastAsia" w:ascii="仿宋" w:hAnsi="仿宋" w:eastAsia="仿宋" w:cs="仿宋"/>
                <w:b/>
                <w:bCs w:val="0"/>
                <w:sz w:val="21"/>
                <w:szCs w:val="21"/>
                <w:highlight w:val="none"/>
              </w:rPr>
              <w:t>环保施工措施计划。</w:t>
            </w:r>
            <w:r>
              <w:rPr>
                <w:rFonts w:hint="eastAsia" w:ascii="仿宋" w:hAnsi="仿宋" w:eastAsia="仿宋" w:cs="仿宋"/>
                <w:sz w:val="21"/>
                <w:szCs w:val="21"/>
                <w:highlight w:val="none"/>
              </w:rPr>
              <w:t>针对项目实际情况，有合理、先进、可行、具体措施。满分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0-3分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b/>
                <w:bCs/>
                <w:sz w:val="21"/>
                <w:szCs w:val="21"/>
                <w:highlight w:val="none"/>
                <w:lang w:val="en-US" w:eastAsia="zh-CN"/>
              </w:rPr>
              <w:t>8、售后维修方案。</w:t>
            </w:r>
            <w:r>
              <w:rPr>
                <w:rFonts w:hint="eastAsia" w:ascii="仿宋" w:hAnsi="仿宋" w:eastAsia="仿宋" w:cs="仿宋"/>
                <w:sz w:val="21"/>
                <w:szCs w:val="21"/>
                <w:highlight w:val="none"/>
              </w:rPr>
              <w:t>针对项目实际情况，</w:t>
            </w:r>
            <w:r>
              <w:rPr>
                <w:rFonts w:hint="eastAsia" w:ascii="仿宋" w:hAnsi="仿宋" w:eastAsia="仿宋" w:cs="仿宋"/>
                <w:sz w:val="21"/>
                <w:szCs w:val="21"/>
                <w:highlight w:val="none"/>
                <w:lang w:val="en-US" w:eastAsia="zh-CN"/>
              </w:rPr>
              <w:t>包括出现质量问题，有维修需求时，项目人员的响应时间、响应程度、处理问题的时间、能力、维修机构设置等进行评价，方案合理、措施有力得7分</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0-7分。</w:t>
            </w:r>
            <w:r>
              <w:rPr>
                <w:rFonts w:hint="eastAsia" w:ascii="仿宋" w:hAnsi="仿宋" w:eastAsia="仿宋" w:cs="仿宋"/>
                <w:sz w:val="21"/>
                <w:szCs w:val="21"/>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项目人员配备</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rPr>
              <w:t>项目人员配备齐全合理、组织岗位职责明确、类似项目经验丰富，能够满足管理要求。满分5分，评委根据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0-5分</w:t>
            </w:r>
            <w:r>
              <w:rPr>
                <w:rFonts w:hint="eastAsia" w:ascii="仿宋" w:hAnsi="仿宋" w:eastAsia="仿宋" w:cs="仿宋"/>
                <w:sz w:val="21"/>
                <w:szCs w:val="21"/>
                <w:highlight w:val="none"/>
              </w:rPr>
              <w:t>。缺项不得分。</w:t>
            </w:r>
          </w:p>
        </w:tc>
      </w:tr>
    </w:tbl>
    <w:p>
      <w:pPr>
        <w:tabs>
          <w:tab w:val="left" w:pos="5113"/>
        </w:tabs>
        <w:bidi w:val="0"/>
        <w:jc w:val="left"/>
        <w:rPr>
          <w:rFonts w:hint="eastAsia"/>
          <w:lang w:val="en-US" w:eastAsia="zh-CN"/>
        </w:rPr>
      </w:pPr>
    </w:p>
    <w:p>
      <w:pPr>
        <w:tabs>
          <w:tab w:val="left" w:pos="5113"/>
        </w:tabs>
        <w:bidi w:val="0"/>
        <w:jc w:val="left"/>
        <w:rPr>
          <w:rFonts w:hint="default"/>
          <w:lang w:val="en-US" w:eastAsia="zh-CN"/>
        </w:rPr>
      </w:pPr>
      <w:r>
        <w:rPr>
          <w:rFonts w:hint="eastAsia"/>
          <w:lang w:val="en-US" w:eastAsia="zh-CN"/>
        </w:rPr>
        <w:t>维修清单</w:t>
      </w:r>
      <w:r>
        <w:rPr>
          <w:rFonts w:hint="eastAsia"/>
          <w:lang w:val="en-US" w:eastAsia="zh-CN"/>
        </w:rPr>
        <w:br w:type="textWrapping"/>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84AFBD38"/>
    <w:multiLevelType w:val="singleLevel"/>
    <w:tmpl w:val="84AFBD38"/>
    <w:lvl w:ilvl="0" w:tentative="0">
      <w:start w:val="1"/>
      <w:numFmt w:val="decimal"/>
      <w:suff w:val="nothing"/>
      <w:lvlText w:val="%1、"/>
      <w:lvlJc w:val="left"/>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BDB6711"/>
    <w:rsid w:val="0D6353A2"/>
    <w:rsid w:val="0D8F606D"/>
    <w:rsid w:val="0DC363ED"/>
    <w:rsid w:val="101C450C"/>
    <w:rsid w:val="118232F4"/>
    <w:rsid w:val="13B30494"/>
    <w:rsid w:val="14385C7A"/>
    <w:rsid w:val="1475255D"/>
    <w:rsid w:val="15516881"/>
    <w:rsid w:val="16335C26"/>
    <w:rsid w:val="19457B5B"/>
    <w:rsid w:val="1A6C7833"/>
    <w:rsid w:val="1B951185"/>
    <w:rsid w:val="1CCE076C"/>
    <w:rsid w:val="201A0765"/>
    <w:rsid w:val="21243ED3"/>
    <w:rsid w:val="216D0D9F"/>
    <w:rsid w:val="264273D8"/>
    <w:rsid w:val="26B67141"/>
    <w:rsid w:val="27F6086F"/>
    <w:rsid w:val="2911509E"/>
    <w:rsid w:val="2D3C2017"/>
    <w:rsid w:val="2DB32E3C"/>
    <w:rsid w:val="2E641555"/>
    <w:rsid w:val="317B5CBE"/>
    <w:rsid w:val="35067D09"/>
    <w:rsid w:val="36FA000E"/>
    <w:rsid w:val="38A83A80"/>
    <w:rsid w:val="3AC945DB"/>
    <w:rsid w:val="3CE1135C"/>
    <w:rsid w:val="3D746843"/>
    <w:rsid w:val="3E720FAA"/>
    <w:rsid w:val="405B41FF"/>
    <w:rsid w:val="44B539F9"/>
    <w:rsid w:val="4A454067"/>
    <w:rsid w:val="4AE567C4"/>
    <w:rsid w:val="4C590A63"/>
    <w:rsid w:val="4E2B176A"/>
    <w:rsid w:val="4F5E5174"/>
    <w:rsid w:val="4F615118"/>
    <w:rsid w:val="5031327F"/>
    <w:rsid w:val="507D70FE"/>
    <w:rsid w:val="51C668F3"/>
    <w:rsid w:val="52095C02"/>
    <w:rsid w:val="56A34BDA"/>
    <w:rsid w:val="59686621"/>
    <w:rsid w:val="5D4C244D"/>
    <w:rsid w:val="5D7100EB"/>
    <w:rsid w:val="5E731F38"/>
    <w:rsid w:val="5F993B0F"/>
    <w:rsid w:val="62FF4D6E"/>
    <w:rsid w:val="63AF5B3D"/>
    <w:rsid w:val="651E2259"/>
    <w:rsid w:val="65A40FE9"/>
    <w:rsid w:val="682445F0"/>
    <w:rsid w:val="6FBD260D"/>
    <w:rsid w:val="75223045"/>
    <w:rsid w:val="7A5442D8"/>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3</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2023-11-14T07:10:00Z</cp:lastPrinted>
  <dcterms:modified xsi:type="dcterms:W3CDTF">2023-11-14T08:59:22Z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95F038F3DF6347F59704155A4DF6ED47_13</vt:lpwstr>
  </property>
</Properties>
</file>